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062DE" w14:textId="77777777" w:rsidR="00E61D80" w:rsidRPr="00A7280F" w:rsidRDefault="00E61D80" w:rsidP="00E61D80">
      <w:pPr>
        <w:spacing w:after="0" w:line="240" w:lineRule="auto"/>
        <w:rPr>
          <w:rFonts w:ascii="Verdana" w:hAnsi="Verdana"/>
          <w:sz w:val="20"/>
          <w:szCs w:val="20"/>
        </w:rPr>
      </w:pPr>
      <w:bookmarkStart w:id="0" w:name="_Toc369985474"/>
      <w:r w:rsidRPr="00A7280F">
        <w:rPr>
          <w:rFonts w:ascii="Verdana" w:hAnsi="Verdana"/>
          <w:sz w:val="20"/>
          <w:szCs w:val="20"/>
        </w:rPr>
        <w:t>Christian Puren</w:t>
      </w:r>
    </w:p>
    <w:p w14:paraId="5EFDCC1E" w14:textId="77777777" w:rsidR="008E65B0" w:rsidRPr="00A7280F" w:rsidRDefault="000236E7" w:rsidP="00E61D80">
      <w:pPr>
        <w:spacing w:after="0" w:line="240" w:lineRule="auto"/>
        <w:rPr>
          <w:rFonts w:ascii="Verdana" w:hAnsi="Verdana"/>
          <w:sz w:val="20"/>
          <w:szCs w:val="20"/>
        </w:rPr>
      </w:pPr>
      <w:hyperlink r:id="rId7" w:history="1">
        <w:r w:rsidR="008E65B0" w:rsidRPr="00A7280F">
          <w:rPr>
            <w:rStyle w:val="Lienhypertexte"/>
            <w:rFonts w:ascii="Verdana" w:hAnsi="Verdana"/>
            <w:sz w:val="20"/>
            <w:szCs w:val="20"/>
          </w:rPr>
          <w:t>www.christianpuren.com</w:t>
        </w:r>
      </w:hyperlink>
    </w:p>
    <w:p w14:paraId="498C8346" w14:textId="77777777" w:rsidR="00102E77" w:rsidRDefault="002B3D45" w:rsidP="00E61D80">
      <w:pPr>
        <w:spacing w:after="0" w:line="240" w:lineRule="auto"/>
        <w:rPr>
          <w:rFonts w:ascii="Verdana" w:hAnsi="Verdana"/>
          <w:sz w:val="20"/>
          <w:szCs w:val="20"/>
        </w:rPr>
      </w:pPr>
      <w:r>
        <w:rPr>
          <w:rFonts w:ascii="Verdana" w:hAnsi="Verdana"/>
          <w:sz w:val="20"/>
          <w:szCs w:val="20"/>
        </w:rPr>
        <w:t xml:space="preserve">Version du </w:t>
      </w:r>
      <w:r w:rsidR="00C56F55">
        <w:rPr>
          <w:rFonts w:ascii="Verdana" w:hAnsi="Verdana"/>
          <w:sz w:val="20"/>
          <w:szCs w:val="20"/>
        </w:rPr>
        <w:t>28 janvier 2018</w:t>
      </w:r>
    </w:p>
    <w:p w14:paraId="2E94EF3F" w14:textId="77777777" w:rsidR="002B3D45" w:rsidRDefault="002B3D45" w:rsidP="00E61D80">
      <w:pPr>
        <w:spacing w:after="0" w:line="240" w:lineRule="auto"/>
        <w:rPr>
          <w:rFonts w:ascii="Verdana" w:hAnsi="Verdana"/>
          <w:sz w:val="20"/>
          <w:szCs w:val="20"/>
        </w:rPr>
      </w:pPr>
    </w:p>
    <w:p w14:paraId="22AAFD0F" w14:textId="77777777" w:rsidR="008E65B0" w:rsidRPr="00A7280F" w:rsidRDefault="008E65B0" w:rsidP="00E61D80">
      <w:pPr>
        <w:spacing w:after="0" w:line="240" w:lineRule="auto"/>
        <w:rPr>
          <w:rFonts w:ascii="Verdana" w:hAnsi="Verdana"/>
          <w:sz w:val="20"/>
          <w:szCs w:val="20"/>
        </w:rPr>
      </w:pPr>
    </w:p>
    <w:p w14:paraId="14BAF2A2" w14:textId="77777777" w:rsidR="00FE399B" w:rsidRPr="001857D3" w:rsidRDefault="00E61D80" w:rsidP="00E61D80">
      <w:pPr>
        <w:spacing w:after="0"/>
        <w:jc w:val="center"/>
        <w:rPr>
          <w:rFonts w:ascii="Verdana" w:hAnsi="Verdana"/>
          <w:b/>
        </w:rPr>
      </w:pPr>
      <w:r w:rsidRPr="001857D3">
        <w:rPr>
          <w:rFonts w:ascii="Verdana" w:hAnsi="Verdana"/>
          <w:b/>
        </w:rPr>
        <w:t>DIFFÉRENTS NIVEAUX DE L’ « AGIR » EN CLASSE DE LANGUE-CULTURE</w:t>
      </w:r>
      <w:bookmarkEnd w:id="0"/>
      <w:r w:rsidR="008E65B0" w:rsidRPr="001857D3">
        <w:rPr>
          <w:rFonts w:ascii="Verdana" w:hAnsi="Verdana"/>
          <w:b/>
        </w:rPr>
        <w:t> :</w:t>
      </w:r>
    </w:p>
    <w:p w14:paraId="62FADD95" w14:textId="77777777" w:rsidR="00E61D80" w:rsidRPr="001857D3" w:rsidRDefault="00E61D80" w:rsidP="00E61D80">
      <w:pPr>
        <w:spacing w:after="0"/>
        <w:jc w:val="center"/>
        <w:rPr>
          <w:rFonts w:ascii="Verdana" w:hAnsi="Verdana"/>
          <w:b/>
        </w:rPr>
      </w:pPr>
      <w:r w:rsidRPr="001857D3">
        <w:rPr>
          <w:rFonts w:ascii="Verdana" w:hAnsi="Verdana"/>
          <w:b/>
        </w:rPr>
        <w:t xml:space="preserve">TP </w:t>
      </w:r>
      <w:r w:rsidR="00A7280F" w:rsidRPr="001857D3">
        <w:rPr>
          <w:rFonts w:ascii="Verdana" w:hAnsi="Verdana"/>
          <w:b/>
        </w:rPr>
        <w:t xml:space="preserve">SUR LA NOTION DE </w:t>
      </w:r>
      <w:r w:rsidRPr="001857D3">
        <w:rPr>
          <w:rFonts w:ascii="Verdana" w:hAnsi="Verdana"/>
          <w:b/>
        </w:rPr>
        <w:t>« COMPÉTENCE »</w:t>
      </w:r>
    </w:p>
    <w:p w14:paraId="4D1387D4" w14:textId="77777777" w:rsidR="001857D3" w:rsidRDefault="001857D3" w:rsidP="00E61D80">
      <w:pPr>
        <w:spacing w:after="0" w:line="240" w:lineRule="auto"/>
        <w:rPr>
          <w:rFonts w:ascii="Verdana" w:hAnsi="Verdana"/>
          <w:sz w:val="20"/>
          <w:szCs w:val="20"/>
        </w:rPr>
      </w:pPr>
    </w:p>
    <w:p w14:paraId="014E9CAC" w14:textId="77777777" w:rsidR="009B2DD1" w:rsidRDefault="00722D99" w:rsidP="00D10DC9">
      <w:pPr>
        <w:spacing w:after="60" w:line="240" w:lineRule="auto"/>
        <w:jc w:val="both"/>
        <w:rPr>
          <w:rFonts w:ascii="Verdana" w:hAnsi="Verdana"/>
          <w:sz w:val="20"/>
          <w:szCs w:val="20"/>
        </w:rPr>
      </w:pPr>
      <w:r>
        <w:rPr>
          <w:rFonts w:ascii="Verdana" w:hAnsi="Verdana"/>
          <w:sz w:val="20"/>
          <w:szCs w:val="20"/>
        </w:rPr>
        <w:t>Le texte ci-dessous de présentation</w:t>
      </w:r>
      <w:r w:rsidR="009B2DD1">
        <w:rPr>
          <w:rFonts w:ascii="Verdana" w:hAnsi="Verdana"/>
          <w:sz w:val="20"/>
          <w:szCs w:val="20"/>
        </w:rPr>
        <w:t xml:space="preserve"> </w:t>
      </w:r>
      <w:r>
        <w:rPr>
          <w:rFonts w:ascii="Verdana" w:hAnsi="Verdana"/>
          <w:sz w:val="20"/>
          <w:szCs w:val="20"/>
        </w:rPr>
        <w:t xml:space="preserve">du tableau des « niveaux de </w:t>
      </w:r>
      <w:proofErr w:type="spellStart"/>
      <w:r>
        <w:rPr>
          <w:rFonts w:ascii="Verdana" w:hAnsi="Verdana"/>
          <w:sz w:val="20"/>
          <w:szCs w:val="20"/>
        </w:rPr>
        <w:t>l"’agir</w:t>
      </w:r>
      <w:proofErr w:type="spellEnd"/>
      <w:r>
        <w:rPr>
          <w:rFonts w:ascii="Verdana" w:hAnsi="Verdana"/>
          <w:sz w:val="20"/>
          <w:szCs w:val="20"/>
        </w:rPr>
        <w:t>" » s’appuie</w:t>
      </w:r>
      <w:r w:rsidR="001A5474">
        <w:rPr>
          <w:rFonts w:ascii="Verdana" w:hAnsi="Verdana"/>
          <w:sz w:val="20"/>
          <w:szCs w:val="20"/>
        </w:rPr>
        <w:t>,</w:t>
      </w:r>
      <w:r w:rsidR="009B2DD1">
        <w:rPr>
          <w:rFonts w:ascii="Verdana" w:hAnsi="Verdana"/>
          <w:sz w:val="20"/>
          <w:szCs w:val="20"/>
        </w:rPr>
        <w:t xml:space="preserve"> </w:t>
      </w:r>
      <w:r>
        <w:rPr>
          <w:rFonts w:ascii="Verdana" w:hAnsi="Verdana"/>
          <w:sz w:val="20"/>
          <w:szCs w:val="20"/>
        </w:rPr>
        <w:t xml:space="preserve">dans </w:t>
      </w:r>
      <w:r w:rsidR="001A5474">
        <w:rPr>
          <w:rFonts w:ascii="Verdana" w:hAnsi="Verdana"/>
          <w:sz w:val="20"/>
          <w:szCs w:val="20"/>
        </w:rPr>
        <w:t>la précédente</w:t>
      </w:r>
      <w:r>
        <w:rPr>
          <w:rFonts w:ascii="Verdana" w:hAnsi="Verdana"/>
          <w:sz w:val="20"/>
          <w:szCs w:val="20"/>
        </w:rPr>
        <w:t xml:space="preserve"> version remaniée de septembre 2016</w:t>
      </w:r>
      <w:r w:rsidR="001A5474">
        <w:rPr>
          <w:rFonts w:ascii="Verdana" w:hAnsi="Verdana"/>
          <w:sz w:val="20"/>
          <w:szCs w:val="20"/>
        </w:rPr>
        <w:t>,</w:t>
      </w:r>
      <w:r>
        <w:rPr>
          <w:rFonts w:ascii="Verdana" w:hAnsi="Verdana"/>
          <w:sz w:val="20"/>
          <w:szCs w:val="20"/>
        </w:rPr>
        <w:t xml:space="preserve"> </w:t>
      </w:r>
      <w:r w:rsidR="009B2DD1">
        <w:rPr>
          <w:rFonts w:ascii="Verdana" w:hAnsi="Verdana"/>
          <w:sz w:val="20"/>
          <w:szCs w:val="20"/>
        </w:rPr>
        <w:t>sur les deux documents suivants :</w:t>
      </w:r>
    </w:p>
    <w:p w14:paraId="3FDD1EFE" w14:textId="77777777" w:rsidR="009B2DD1" w:rsidRPr="009B2DD1" w:rsidRDefault="009B2DD1" w:rsidP="00D10DC9">
      <w:pPr>
        <w:spacing w:after="0" w:line="240" w:lineRule="auto"/>
        <w:ind w:left="708"/>
        <w:jc w:val="both"/>
        <w:rPr>
          <w:rFonts w:ascii="Verdana" w:hAnsi="Verdana"/>
          <w:sz w:val="20"/>
          <w:szCs w:val="20"/>
        </w:rPr>
      </w:pPr>
      <w:r w:rsidRPr="009B2DD1">
        <w:rPr>
          <w:rFonts w:ascii="Verdana" w:hAnsi="Verdana"/>
          <w:sz w:val="20"/>
          <w:szCs w:val="20"/>
        </w:rPr>
        <w:t xml:space="preserve">– le glossaire </w:t>
      </w:r>
      <w:hyperlink r:id="rId8" w:history="1">
        <w:r w:rsidR="005A1016" w:rsidRPr="005A1016">
          <w:rPr>
            <w:rStyle w:val="Lienhypertexte"/>
            <w:rFonts w:ascii="Verdana" w:hAnsi="Verdana"/>
            <w:sz w:val="20"/>
            <w:szCs w:val="20"/>
          </w:rPr>
          <w:t>Document 013</w:t>
        </w:r>
      </w:hyperlink>
      <w:r w:rsidR="005A1016">
        <w:rPr>
          <w:rFonts w:ascii="Verdana" w:hAnsi="Verdana"/>
          <w:sz w:val="20"/>
          <w:szCs w:val="20"/>
        </w:rPr>
        <w:t xml:space="preserve"> </w:t>
      </w:r>
      <w:r w:rsidRPr="009B2DD1">
        <w:rPr>
          <w:rFonts w:ascii="Verdana" w:hAnsi="Verdana"/>
          <w:sz w:val="20"/>
          <w:szCs w:val="20"/>
        </w:rPr>
        <w:t xml:space="preserve">intitulé « Le champ sémantique de l'"agir" en didactique des langues-cultures », </w:t>
      </w:r>
      <w:hyperlink r:id="rId9" w:history="1">
        <w:r w:rsidRPr="009B2DD1">
          <w:rPr>
            <w:rStyle w:val="Lienhypertexte"/>
            <w:rFonts w:ascii="Verdana" w:hAnsi="Verdana"/>
            <w:sz w:val="20"/>
            <w:szCs w:val="20"/>
          </w:rPr>
          <w:t>www.christianpuren.com/bibliothèque-de-travail/013/</w:t>
        </w:r>
      </w:hyperlink>
      <w:r w:rsidRPr="009B2DD1">
        <w:rPr>
          <w:rFonts w:ascii="Verdana" w:hAnsi="Verdana"/>
          <w:sz w:val="20"/>
          <w:szCs w:val="20"/>
        </w:rPr>
        <w:t xml:space="preserve"> (nouvelle version de sept. 2016)</w:t>
      </w:r>
      <w:r>
        <w:rPr>
          <w:rFonts w:ascii="Verdana" w:hAnsi="Verdana"/>
          <w:sz w:val="20"/>
          <w:szCs w:val="20"/>
        </w:rPr>
        <w:t> ;</w:t>
      </w:r>
    </w:p>
    <w:p w14:paraId="20FACC12" w14:textId="77777777" w:rsidR="009B2DD1" w:rsidRPr="009B2DD1" w:rsidRDefault="009B2DD1" w:rsidP="00D10DC9">
      <w:pPr>
        <w:spacing w:after="0" w:line="240" w:lineRule="auto"/>
        <w:ind w:left="708"/>
        <w:jc w:val="both"/>
        <w:rPr>
          <w:rFonts w:ascii="Verdana" w:hAnsi="Verdana"/>
          <w:sz w:val="20"/>
          <w:szCs w:val="20"/>
        </w:rPr>
      </w:pPr>
      <w:r w:rsidRPr="009B2DD1">
        <w:rPr>
          <w:rFonts w:ascii="Verdana" w:hAnsi="Verdana"/>
          <w:sz w:val="20"/>
          <w:szCs w:val="20"/>
        </w:rPr>
        <w:t xml:space="preserve">– l’ouvrage </w:t>
      </w:r>
      <w:hyperlink r:id="rId10" w:history="1">
        <w:r w:rsidR="005A1016" w:rsidRPr="005A1016">
          <w:rPr>
            <w:rStyle w:val="Lienhypertexte"/>
            <w:rFonts w:ascii="Verdana" w:hAnsi="Verdana"/>
            <w:sz w:val="20"/>
            <w:szCs w:val="20"/>
          </w:rPr>
          <w:t>PUREN 2016g</w:t>
        </w:r>
      </w:hyperlink>
      <w:r w:rsidR="005A1016">
        <w:rPr>
          <w:rFonts w:ascii="Verdana" w:hAnsi="Verdana"/>
          <w:sz w:val="20"/>
          <w:szCs w:val="20"/>
        </w:rPr>
        <w:t xml:space="preserve"> </w:t>
      </w:r>
      <w:r w:rsidRPr="009B2DD1">
        <w:rPr>
          <w:rFonts w:ascii="Verdana" w:hAnsi="Verdana"/>
          <w:sz w:val="20"/>
          <w:szCs w:val="20"/>
        </w:rPr>
        <w:t xml:space="preserve">intitulé </w:t>
      </w:r>
      <w:r w:rsidRPr="009B2DD1">
        <w:rPr>
          <w:rFonts w:ascii="Verdana" w:hAnsi="Verdana"/>
          <w:i/>
          <w:sz w:val="20"/>
          <w:szCs w:val="20"/>
        </w:rPr>
        <w:t>Le travail d’élaboration conceptuelle dans la recherche en DLC. L’exemple de l'approche par compétences et de la perspective actionnelle</w:t>
      </w:r>
      <w:r w:rsidRPr="009B2DD1">
        <w:rPr>
          <w:rFonts w:ascii="Verdana" w:hAnsi="Verdana"/>
          <w:sz w:val="20"/>
          <w:szCs w:val="20"/>
        </w:rPr>
        <w:t>, 1</w:t>
      </w:r>
      <w:r w:rsidRPr="003561DD">
        <w:rPr>
          <w:rFonts w:ascii="Verdana" w:hAnsi="Verdana"/>
          <w:sz w:val="20"/>
          <w:szCs w:val="20"/>
          <w:vertAlign w:val="superscript"/>
        </w:rPr>
        <w:t>e</w:t>
      </w:r>
      <w:r w:rsidRPr="009B2DD1">
        <w:rPr>
          <w:rFonts w:ascii="Verdana" w:hAnsi="Verdana"/>
          <w:sz w:val="20"/>
          <w:szCs w:val="20"/>
        </w:rPr>
        <w:t xml:space="preserve"> éd. numérique, septembre 2016, 81 p., </w:t>
      </w:r>
      <w:r w:rsidR="003561DD">
        <w:rPr>
          <w:rFonts w:ascii="Verdana" w:hAnsi="Verdana"/>
          <w:sz w:val="20"/>
          <w:szCs w:val="20"/>
        </w:rPr>
        <w:t>chapitre 2, « L</w:t>
      </w:r>
      <w:r w:rsidR="003561DD" w:rsidRPr="003561DD">
        <w:rPr>
          <w:rFonts w:ascii="Verdana" w:hAnsi="Verdana"/>
          <w:sz w:val="20"/>
          <w:szCs w:val="20"/>
        </w:rPr>
        <w:t>’élaboration du champ sémantique de l’"agir"</w:t>
      </w:r>
      <w:r w:rsidR="003561DD">
        <w:rPr>
          <w:rFonts w:ascii="Verdana" w:hAnsi="Verdana"/>
          <w:sz w:val="20"/>
          <w:szCs w:val="20"/>
        </w:rPr>
        <w:t> »</w:t>
      </w:r>
      <w:r w:rsidR="003561DD" w:rsidRPr="003561DD">
        <w:rPr>
          <w:rFonts w:ascii="Verdana" w:hAnsi="Verdana"/>
          <w:sz w:val="20"/>
          <w:szCs w:val="20"/>
        </w:rPr>
        <w:t>, pp. 27-37</w:t>
      </w:r>
      <w:r w:rsidR="005A1016">
        <w:rPr>
          <w:rFonts w:ascii="Verdana" w:hAnsi="Verdana"/>
          <w:sz w:val="20"/>
          <w:szCs w:val="20"/>
        </w:rPr>
        <w:t xml:space="preserve">, et </w:t>
      </w:r>
      <w:r w:rsidR="003561DD">
        <w:rPr>
          <w:rFonts w:ascii="Verdana" w:hAnsi="Verdana"/>
          <w:sz w:val="20"/>
          <w:szCs w:val="20"/>
        </w:rPr>
        <w:t>chapitre 3, « La notion de "compétence</w:t>
      </w:r>
      <w:r w:rsidR="003561DD" w:rsidRPr="003561DD">
        <w:rPr>
          <w:rFonts w:ascii="Verdana" w:hAnsi="Verdana"/>
          <w:sz w:val="20"/>
          <w:szCs w:val="20"/>
        </w:rPr>
        <w:t>"</w:t>
      </w:r>
      <w:r w:rsidR="003561DD">
        <w:rPr>
          <w:rFonts w:ascii="Verdana" w:hAnsi="Verdana"/>
          <w:sz w:val="20"/>
          <w:szCs w:val="20"/>
        </w:rPr>
        <w:t> », pp. 38-72.</w:t>
      </w:r>
    </w:p>
    <w:p w14:paraId="50738CA7" w14:textId="77777777" w:rsidR="003561DD" w:rsidRDefault="003561DD" w:rsidP="00E61D80">
      <w:pPr>
        <w:spacing w:after="0" w:line="240" w:lineRule="auto"/>
        <w:rPr>
          <w:rFonts w:ascii="Verdana" w:hAnsi="Verdana"/>
          <w:sz w:val="20"/>
          <w:szCs w:val="20"/>
        </w:rPr>
      </w:pPr>
    </w:p>
    <w:p w14:paraId="7BE7D2C2" w14:textId="77777777" w:rsidR="00793947" w:rsidRDefault="002B3D45" w:rsidP="00963AC3">
      <w:pPr>
        <w:spacing w:after="0" w:line="240" w:lineRule="auto"/>
        <w:jc w:val="both"/>
        <w:rPr>
          <w:rFonts w:ascii="Verdana" w:hAnsi="Verdana"/>
          <w:sz w:val="20"/>
          <w:szCs w:val="20"/>
        </w:rPr>
      </w:pPr>
      <w:r>
        <w:rPr>
          <w:rFonts w:ascii="Verdana" w:hAnsi="Verdana"/>
          <w:sz w:val="20"/>
          <w:szCs w:val="20"/>
        </w:rPr>
        <w:t xml:space="preserve">Je reprends </w:t>
      </w:r>
      <w:r w:rsidR="00722D99">
        <w:rPr>
          <w:rFonts w:ascii="Verdana" w:hAnsi="Verdana"/>
          <w:sz w:val="20"/>
          <w:szCs w:val="20"/>
        </w:rPr>
        <w:t>personnellement</w:t>
      </w:r>
      <w:r w:rsidR="00793947">
        <w:rPr>
          <w:rFonts w:ascii="Verdana" w:hAnsi="Verdana"/>
          <w:sz w:val="20"/>
          <w:szCs w:val="20"/>
        </w:rPr>
        <w:t>, pour définir la notion de « compétence » en didactique des langues-cultures, la définition qu’en donnent actuellement beaucoup de pédagogues, comme Jacques TARDIF</w:t>
      </w:r>
      <w:r w:rsidR="00EF0DA6">
        <w:rPr>
          <w:rFonts w:ascii="Verdana" w:hAnsi="Verdana"/>
          <w:sz w:val="20"/>
          <w:szCs w:val="20"/>
        </w:rPr>
        <w:t xml:space="preserve"> 2006</w:t>
      </w:r>
      <w:r w:rsidR="007775FC">
        <w:rPr>
          <w:rStyle w:val="Appelnotedebasdep"/>
          <w:rFonts w:ascii="Verdana" w:hAnsi="Verdana"/>
          <w:sz w:val="20"/>
          <w:szCs w:val="20"/>
        </w:rPr>
        <w:footnoteReference w:id="1"/>
      </w:r>
      <w:r w:rsidR="00793947">
        <w:rPr>
          <w:rFonts w:ascii="Verdana" w:hAnsi="Verdana"/>
          <w:sz w:val="20"/>
          <w:szCs w:val="20"/>
        </w:rPr>
        <w:t xml:space="preserve"> : </w:t>
      </w:r>
      <w:r w:rsidR="007775FC">
        <w:rPr>
          <w:rFonts w:ascii="Verdana" w:hAnsi="Verdana"/>
          <w:sz w:val="20"/>
          <w:szCs w:val="20"/>
        </w:rPr>
        <w:t>« </w:t>
      </w:r>
      <w:r w:rsidR="00EF0DA6" w:rsidRPr="00EF0DA6">
        <w:rPr>
          <w:rFonts w:ascii="Verdana" w:hAnsi="Verdana"/>
          <w:sz w:val="20"/>
          <w:szCs w:val="20"/>
        </w:rPr>
        <w:t>un savoir-agir complexe prenant appui sur une mobilisation et combinaison efficaces d'une variété de ressources de type externe et interne</w:t>
      </w:r>
      <w:r w:rsidR="007775FC">
        <w:rPr>
          <w:rFonts w:ascii="Verdana" w:hAnsi="Verdana"/>
          <w:sz w:val="20"/>
          <w:szCs w:val="20"/>
        </w:rPr>
        <w:t xml:space="preserve"> dans une famille de situations »</w:t>
      </w:r>
      <w:r w:rsidR="00EF0DA6" w:rsidRPr="00EF0DA6">
        <w:rPr>
          <w:rFonts w:ascii="Verdana" w:hAnsi="Verdana"/>
          <w:sz w:val="20"/>
          <w:szCs w:val="20"/>
        </w:rPr>
        <w:t xml:space="preserve"> (p. 16)</w:t>
      </w:r>
      <w:r w:rsidR="00722D99">
        <w:rPr>
          <w:rFonts w:ascii="Verdana" w:hAnsi="Verdana"/>
          <w:sz w:val="20"/>
          <w:szCs w:val="20"/>
        </w:rPr>
        <w:t>.</w:t>
      </w:r>
      <w:r>
        <w:rPr>
          <w:rFonts w:ascii="Verdana" w:hAnsi="Verdana"/>
          <w:sz w:val="20"/>
          <w:szCs w:val="20"/>
        </w:rPr>
        <w:t xml:space="preserve"> Voir l’ouvrage </w:t>
      </w:r>
      <w:hyperlink r:id="rId11" w:history="1">
        <w:r w:rsidR="00F21691" w:rsidRPr="005A1016">
          <w:rPr>
            <w:rStyle w:val="Lienhypertexte"/>
            <w:rFonts w:ascii="Verdana" w:hAnsi="Verdana"/>
            <w:sz w:val="20"/>
            <w:szCs w:val="20"/>
          </w:rPr>
          <w:t>PUREN 2016g</w:t>
        </w:r>
      </w:hyperlink>
      <w:r w:rsidR="00F21691">
        <w:rPr>
          <w:rFonts w:ascii="Verdana" w:hAnsi="Verdana"/>
          <w:sz w:val="20"/>
          <w:szCs w:val="20"/>
        </w:rPr>
        <w:t xml:space="preserve"> c</w:t>
      </w:r>
      <w:r>
        <w:rPr>
          <w:rFonts w:ascii="Verdana" w:hAnsi="Verdana"/>
          <w:sz w:val="20"/>
          <w:szCs w:val="20"/>
        </w:rPr>
        <w:t xml:space="preserve">ité ci-dessus, </w:t>
      </w:r>
      <w:r w:rsidRPr="002B3D45">
        <w:rPr>
          <w:rFonts w:ascii="Verdana" w:hAnsi="Verdana"/>
          <w:sz w:val="20"/>
          <w:szCs w:val="20"/>
        </w:rPr>
        <w:t>chapitre 2 « L’élaboration du champ sémantique de l’"agir" », pp. 27-37.</w:t>
      </w:r>
    </w:p>
    <w:p w14:paraId="078D527E" w14:textId="77777777" w:rsidR="002B3D45" w:rsidRDefault="002B3D45" w:rsidP="00D10DC9">
      <w:pPr>
        <w:spacing w:after="0" w:line="240" w:lineRule="auto"/>
        <w:jc w:val="both"/>
        <w:rPr>
          <w:rFonts w:ascii="Verdana" w:hAnsi="Verdana"/>
          <w:sz w:val="20"/>
          <w:szCs w:val="20"/>
        </w:rPr>
      </w:pPr>
    </w:p>
    <w:p w14:paraId="53A2628C" w14:textId="51E608BB" w:rsidR="008D2BB9" w:rsidRDefault="00F21691" w:rsidP="00963AC3">
      <w:pPr>
        <w:spacing w:after="0" w:line="240" w:lineRule="auto"/>
        <w:jc w:val="both"/>
        <w:rPr>
          <w:rFonts w:ascii="Verdana" w:hAnsi="Verdana"/>
          <w:sz w:val="20"/>
          <w:szCs w:val="20"/>
        </w:rPr>
      </w:pPr>
      <w:proofErr w:type="gramStart"/>
      <w:r w:rsidRPr="00963AC3">
        <w:rPr>
          <w:rFonts w:ascii="Verdana" w:hAnsi="Verdana"/>
          <w:sz w:val="20"/>
          <w:szCs w:val="20"/>
        </w:rPr>
        <w:t>Ce</w:t>
      </w:r>
      <w:proofErr w:type="gramEnd"/>
      <w:r w:rsidRPr="00963AC3">
        <w:rPr>
          <w:rFonts w:ascii="Verdana" w:hAnsi="Verdana"/>
          <w:sz w:val="20"/>
          <w:szCs w:val="20"/>
        </w:rPr>
        <w:t xml:space="preserve"> « savoir-agir » est complexe parce q</w:t>
      </w:r>
      <w:r w:rsidR="003C3456" w:rsidRPr="00963AC3">
        <w:rPr>
          <w:rFonts w:ascii="Verdana" w:hAnsi="Verdana"/>
          <w:sz w:val="20"/>
          <w:szCs w:val="20"/>
        </w:rPr>
        <w:t>u’il mobilise de manière intégrée des savoir</w:t>
      </w:r>
      <w:r w:rsidR="00F83505">
        <w:rPr>
          <w:rFonts w:ascii="Verdana" w:hAnsi="Verdana"/>
          <w:sz w:val="20"/>
          <w:szCs w:val="20"/>
        </w:rPr>
        <w:t>s</w:t>
      </w:r>
      <w:r w:rsidR="003C3456" w:rsidRPr="00963AC3">
        <w:rPr>
          <w:rFonts w:ascii="Verdana" w:hAnsi="Verdana"/>
          <w:sz w:val="20"/>
          <w:szCs w:val="20"/>
        </w:rPr>
        <w:t>, savoir-</w:t>
      </w:r>
      <w:r w:rsidR="003C3456">
        <w:rPr>
          <w:rFonts w:ascii="Verdana" w:hAnsi="Verdana"/>
          <w:sz w:val="20"/>
          <w:szCs w:val="20"/>
        </w:rPr>
        <w:t>faire et « savoir-y-faire »</w:t>
      </w:r>
      <w:r w:rsidR="003C3456">
        <w:rPr>
          <w:rStyle w:val="Appelnotedebasdep"/>
          <w:rFonts w:ascii="Verdana" w:hAnsi="Verdana"/>
          <w:sz w:val="20"/>
          <w:szCs w:val="20"/>
        </w:rPr>
        <w:footnoteReference w:id="2"/>
      </w:r>
      <w:r w:rsidR="00963AC3">
        <w:rPr>
          <w:rFonts w:ascii="Verdana" w:hAnsi="Verdana"/>
          <w:sz w:val="20"/>
          <w:szCs w:val="20"/>
        </w:rPr>
        <w:t xml:space="preserve"> tant pour l’agir d’usage que pour l’agir d’apprentissage, ce dernier mobilisant en outre le savoir-apprendre</w:t>
      </w:r>
      <w:r w:rsidR="00963AC3">
        <w:rPr>
          <w:rStyle w:val="Appelnotedebasdep"/>
          <w:rFonts w:ascii="Verdana" w:hAnsi="Verdana"/>
          <w:sz w:val="20"/>
          <w:szCs w:val="20"/>
        </w:rPr>
        <w:footnoteReference w:id="3"/>
      </w:r>
      <w:r w:rsidR="004D2521">
        <w:rPr>
          <w:rFonts w:ascii="Verdana" w:hAnsi="Verdana"/>
          <w:sz w:val="20"/>
          <w:szCs w:val="20"/>
        </w:rPr>
        <w:t>. La relation entre tâches et action est elle-même complexe, comme on le verra dans le tableau ci-après</w:t>
      </w:r>
      <w:r w:rsidR="008D2BB9">
        <w:rPr>
          <w:rFonts w:ascii="Verdana" w:hAnsi="Verdana"/>
          <w:sz w:val="20"/>
          <w:szCs w:val="20"/>
        </w:rPr>
        <w:t xml:space="preserve"> ; cf. aussi </w:t>
      </w:r>
      <w:hyperlink r:id="rId12" w:history="1">
        <w:r w:rsidR="00973DC3" w:rsidRPr="005A1016">
          <w:rPr>
            <w:rStyle w:val="Lienhypertexte"/>
            <w:rFonts w:ascii="Verdana" w:hAnsi="Verdana"/>
            <w:sz w:val="20"/>
            <w:szCs w:val="20"/>
          </w:rPr>
          <w:t>PUREN 2016g</w:t>
        </w:r>
      </w:hyperlink>
      <w:r w:rsidR="008D2BB9">
        <w:rPr>
          <w:rFonts w:ascii="Verdana" w:hAnsi="Verdana"/>
          <w:sz w:val="20"/>
          <w:szCs w:val="20"/>
        </w:rPr>
        <w:t>, chap. 1.5, entrée « Tâche »</w:t>
      </w:r>
      <w:r w:rsidR="008D2BB9" w:rsidRPr="008D2BB9">
        <w:rPr>
          <w:rFonts w:ascii="Verdana" w:hAnsi="Verdana"/>
          <w:sz w:val="20"/>
          <w:szCs w:val="20"/>
        </w:rPr>
        <w:t xml:space="preserve"> et commentaires, pp. 17-20</w:t>
      </w:r>
      <w:r w:rsidR="008D2BB9">
        <w:rPr>
          <w:rFonts w:ascii="Verdana" w:hAnsi="Verdana"/>
          <w:sz w:val="20"/>
          <w:szCs w:val="20"/>
        </w:rPr>
        <w:t>.</w:t>
      </w:r>
    </w:p>
    <w:p w14:paraId="17AB663C" w14:textId="77777777" w:rsidR="008D2BB9" w:rsidRDefault="008D2BB9" w:rsidP="00963AC3">
      <w:pPr>
        <w:spacing w:after="0" w:line="240" w:lineRule="auto"/>
        <w:jc w:val="both"/>
        <w:rPr>
          <w:rFonts w:ascii="Verdana" w:hAnsi="Verdana"/>
          <w:sz w:val="20"/>
          <w:szCs w:val="20"/>
        </w:rPr>
      </w:pPr>
    </w:p>
    <w:p w14:paraId="257DC951" w14:textId="2A4C4687" w:rsidR="00FE399B" w:rsidRDefault="004D2521" w:rsidP="00E61D80">
      <w:pPr>
        <w:spacing w:after="0" w:line="240" w:lineRule="auto"/>
        <w:jc w:val="both"/>
        <w:rPr>
          <w:rFonts w:ascii="Verdana" w:hAnsi="Verdana"/>
          <w:sz w:val="20"/>
          <w:szCs w:val="20"/>
        </w:rPr>
      </w:pPr>
      <w:r>
        <w:rPr>
          <w:rFonts w:ascii="Verdana" w:hAnsi="Verdana"/>
          <w:sz w:val="20"/>
          <w:szCs w:val="20"/>
        </w:rPr>
        <w:t>La didactique des langues-cultures a hérité d’un certain nombre d</w:t>
      </w:r>
      <w:r w:rsidR="00973DC3">
        <w:rPr>
          <w:rFonts w:ascii="Verdana" w:hAnsi="Verdana"/>
          <w:sz w:val="20"/>
          <w:szCs w:val="20"/>
        </w:rPr>
        <w:t xml:space="preserve">’outils conceptuels </w:t>
      </w:r>
      <w:r>
        <w:rPr>
          <w:rFonts w:ascii="Verdana" w:hAnsi="Verdana"/>
          <w:sz w:val="20"/>
          <w:szCs w:val="20"/>
        </w:rPr>
        <w:t xml:space="preserve">découpant l’agir en différents niveaux qui sont </w:t>
      </w:r>
      <w:r w:rsidR="00973DC3">
        <w:rPr>
          <w:rFonts w:ascii="Verdana" w:hAnsi="Verdana"/>
          <w:sz w:val="20"/>
          <w:szCs w:val="20"/>
        </w:rPr>
        <w:t>utiles</w:t>
      </w:r>
      <w:r>
        <w:rPr>
          <w:rFonts w:ascii="Verdana" w:hAnsi="Verdana"/>
          <w:sz w:val="20"/>
          <w:szCs w:val="20"/>
        </w:rPr>
        <w:t xml:space="preserve"> </w:t>
      </w:r>
      <w:r w:rsidR="00973DC3">
        <w:rPr>
          <w:rFonts w:ascii="Verdana" w:hAnsi="Verdana"/>
          <w:sz w:val="20"/>
          <w:szCs w:val="20"/>
        </w:rPr>
        <w:t>parce qu’ils</w:t>
      </w:r>
      <w:r>
        <w:rPr>
          <w:rFonts w:ascii="Verdana" w:hAnsi="Verdana"/>
          <w:sz w:val="20"/>
          <w:szCs w:val="20"/>
        </w:rPr>
        <w:t xml:space="preserve"> </w:t>
      </w:r>
      <w:r w:rsidR="00973DC3">
        <w:rPr>
          <w:rFonts w:ascii="Verdana" w:hAnsi="Verdana"/>
          <w:sz w:val="20"/>
          <w:szCs w:val="20"/>
        </w:rPr>
        <w:t>produisent ainsi des objectifs et des objets d’</w:t>
      </w:r>
      <w:r w:rsidR="008D2BB9">
        <w:rPr>
          <w:rFonts w:ascii="Verdana" w:hAnsi="Verdana"/>
          <w:sz w:val="20"/>
          <w:szCs w:val="20"/>
        </w:rPr>
        <w:t>enseignement-</w:t>
      </w:r>
      <w:r w:rsidR="00973DC3">
        <w:rPr>
          <w:rFonts w:ascii="Verdana" w:hAnsi="Verdana"/>
          <w:sz w:val="20"/>
          <w:szCs w:val="20"/>
        </w:rPr>
        <w:t>apprentissage</w:t>
      </w:r>
      <w:r w:rsidR="008D2BB9">
        <w:rPr>
          <w:rFonts w:ascii="Verdana" w:hAnsi="Verdana"/>
          <w:sz w:val="20"/>
          <w:szCs w:val="20"/>
        </w:rPr>
        <w:t xml:space="preserve"> et d’évaluation</w:t>
      </w:r>
      <w:r w:rsidR="00973DC3">
        <w:rPr>
          <w:rFonts w:ascii="Verdana" w:hAnsi="Verdana"/>
          <w:sz w:val="20"/>
          <w:szCs w:val="20"/>
        </w:rPr>
        <w:t xml:space="preserve">. </w:t>
      </w:r>
      <w:r w:rsidR="00CF0EBC">
        <w:rPr>
          <w:rFonts w:ascii="Verdana" w:hAnsi="Verdana"/>
          <w:sz w:val="20"/>
          <w:szCs w:val="20"/>
        </w:rPr>
        <w:t>C</w:t>
      </w:r>
      <w:r w:rsidR="00973DC3">
        <w:rPr>
          <w:rFonts w:ascii="Verdana" w:hAnsi="Verdana"/>
          <w:sz w:val="20"/>
          <w:szCs w:val="20"/>
        </w:rPr>
        <w:t>e TP propose d’analyser une action sociale complexe – </w:t>
      </w:r>
      <w:r w:rsidR="00973DC3" w:rsidRPr="008D2BB9">
        <w:rPr>
          <w:rFonts w:ascii="Verdana" w:hAnsi="Verdana"/>
          <w:sz w:val="20"/>
          <w:szCs w:val="20"/>
        </w:rPr>
        <w:t>organiser une soirée chez soi pour se faire des amis parmi ses nouvelles connaissances – au moyen de ces différents outils, qui sont l</w:t>
      </w:r>
      <w:r w:rsidR="008D2BB9">
        <w:rPr>
          <w:rFonts w:ascii="Verdana" w:hAnsi="Verdana"/>
          <w:sz w:val="20"/>
          <w:szCs w:val="20"/>
        </w:rPr>
        <w:t>’ « </w:t>
      </w:r>
      <w:r w:rsidR="00973DC3" w:rsidRPr="008D2BB9">
        <w:rPr>
          <w:rFonts w:ascii="Verdana" w:hAnsi="Verdana"/>
          <w:sz w:val="20"/>
          <w:szCs w:val="20"/>
        </w:rPr>
        <w:t>opération cognitive, l’</w:t>
      </w:r>
      <w:r w:rsidR="008D2BB9">
        <w:rPr>
          <w:rFonts w:ascii="Verdana" w:hAnsi="Verdana"/>
          <w:sz w:val="20"/>
          <w:szCs w:val="20"/>
        </w:rPr>
        <w:t> « </w:t>
      </w:r>
      <w:r w:rsidR="00973DC3" w:rsidRPr="008D2BB9">
        <w:rPr>
          <w:rFonts w:ascii="Verdana" w:hAnsi="Verdana"/>
          <w:sz w:val="20"/>
          <w:szCs w:val="20"/>
        </w:rPr>
        <w:t xml:space="preserve">acte de </w:t>
      </w:r>
      <w:r w:rsidR="00973DC3" w:rsidRPr="00404B09">
        <w:rPr>
          <w:rFonts w:ascii="Verdana" w:hAnsi="Verdana"/>
          <w:sz w:val="20"/>
          <w:szCs w:val="20"/>
        </w:rPr>
        <w:t>parole</w:t>
      </w:r>
      <w:r w:rsidR="008D2BB9" w:rsidRPr="00404B09">
        <w:rPr>
          <w:rFonts w:ascii="Verdana" w:hAnsi="Verdana"/>
          <w:sz w:val="20"/>
          <w:szCs w:val="20"/>
        </w:rPr>
        <w:t> »</w:t>
      </w:r>
      <w:r w:rsidR="00973DC3" w:rsidRPr="00404B09">
        <w:rPr>
          <w:rFonts w:ascii="Verdana" w:hAnsi="Verdana"/>
          <w:sz w:val="20"/>
          <w:szCs w:val="20"/>
        </w:rPr>
        <w:t>, l’</w:t>
      </w:r>
      <w:r w:rsidR="008D2BB9" w:rsidRPr="00404B09">
        <w:rPr>
          <w:rFonts w:ascii="Verdana" w:hAnsi="Verdana"/>
          <w:sz w:val="20"/>
          <w:szCs w:val="20"/>
        </w:rPr>
        <w:t> « </w:t>
      </w:r>
      <w:r w:rsidR="00973DC3" w:rsidRPr="00404B09">
        <w:rPr>
          <w:rFonts w:ascii="Verdana" w:hAnsi="Verdana"/>
          <w:sz w:val="20"/>
          <w:szCs w:val="20"/>
        </w:rPr>
        <w:t>activité langagière</w:t>
      </w:r>
      <w:r w:rsidR="008D2BB9" w:rsidRPr="00404B09">
        <w:rPr>
          <w:rFonts w:ascii="Verdana" w:hAnsi="Verdana"/>
          <w:sz w:val="20"/>
          <w:szCs w:val="20"/>
        </w:rPr>
        <w:t> »</w:t>
      </w:r>
      <w:r w:rsidR="00973DC3" w:rsidRPr="00404B09">
        <w:rPr>
          <w:rFonts w:ascii="Verdana" w:hAnsi="Verdana"/>
          <w:sz w:val="20"/>
          <w:szCs w:val="20"/>
        </w:rPr>
        <w:t xml:space="preserve">, la </w:t>
      </w:r>
      <w:r w:rsidR="008D2BB9" w:rsidRPr="00404B09">
        <w:rPr>
          <w:rFonts w:ascii="Verdana" w:hAnsi="Verdana"/>
          <w:sz w:val="20"/>
          <w:szCs w:val="20"/>
        </w:rPr>
        <w:t>« </w:t>
      </w:r>
      <w:r w:rsidR="00973DC3" w:rsidRPr="00404B09">
        <w:rPr>
          <w:rFonts w:ascii="Verdana" w:hAnsi="Verdana"/>
          <w:sz w:val="20"/>
          <w:szCs w:val="20"/>
        </w:rPr>
        <w:t>tâche</w:t>
      </w:r>
      <w:r w:rsidR="008D2BB9" w:rsidRPr="00404B09">
        <w:rPr>
          <w:rFonts w:ascii="Verdana" w:hAnsi="Verdana"/>
          <w:sz w:val="20"/>
          <w:szCs w:val="20"/>
        </w:rPr>
        <w:t> »</w:t>
      </w:r>
      <w:r w:rsidR="00973DC3" w:rsidRPr="00404B09">
        <w:rPr>
          <w:rFonts w:ascii="Verdana" w:hAnsi="Verdana"/>
          <w:sz w:val="20"/>
          <w:szCs w:val="20"/>
        </w:rPr>
        <w:t xml:space="preserve"> et l’</w:t>
      </w:r>
      <w:r w:rsidR="008D2BB9" w:rsidRPr="00404B09">
        <w:rPr>
          <w:rFonts w:ascii="Verdana" w:hAnsi="Verdana"/>
          <w:sz w:val="20"/>
          <w:szCs w:val="20"/>
        </w:rPr>
        <w:t> « </w:t>
      </w:r>
      <w:r w:rsidR="00973DC3" w:rsidRPr="00404B09">
        <w:rPr>
          <w:rFonts w:ascii="Verdana" w:hAnsi="Verdana"/>
          <w:sz w:val="20"/>
          <w:szCs w:val="20"/>
        </w:rPr>
        <w:t>action</w:t>
      </w:r>
      <w:r w:rsidR="008D2BB9" w:rsidRPr="00404B09">
        <w:rPr>
          <w:rFonts w:ascii="Verdana" w:hAnsi="Verdana"/>
          <w:sz w:val="20"/>
          <w:szCs w:val="20"/>
        </w:rPr>
        <w:t xml:space="preserve"> ». On peut considérer que ces différents « niveaux d’agir » </w:t>
      </w:r>
      <w:r w:rsidR="00E475F8" w:rsidRPr="00404B09">
        <w:rPr>
          <w:rFonts w:ascii="Verdana" w:hAnsi="Verdana"/>
          <w:sz w:val="20"/>
          <w:szCs w:val="20"/>
        </w:rPr>
        <w:t xml:space="preserve">se situent </w:t>
      </w:r>
      <w:r w:rsidR="00BD6FA6" w:rsidRPr="00404B09">
        <w:rPr>
          <w:rFonts w:ascii="Verdana" w:hAnsi="Verdana"/>
          <w:sz w:val="20"/>
          <w:szCs w:val="20"/>
        </w:rPr>
        <w:t xml:space="preserve">sur une échelle </w:t>
      </w:r>
      <w:r w:rsidR="00E475F8" w:rsidRPr="00404B09">
        <w:rPr>
          <w:rFonts w:ascii="Verdana" w:hAnsi="Verdana"/>
          <w:sz w:val="20"/>
          <w:szCs w:val="20"/>
        </w:rPr>
        <w:t>à la fois</w:t>
      </w:r>
      <w:r w:rsidR="00654743" w:rsidRPr="00404B09">
        <w:rPr>
          <w:rFonts w:ascii="Verdana" w:hAnsi="Verdana"/>
          <w:sz w:val="20"/>
          <w:szCs w:val="20"/>
        </w:rPr>
        <w:t xml:space="preserve"> </w:t>
      </w:r>
      <w:r w:rsidR="00BD6FA6" w:rsidRPr="00404B09">
        <w:rPr>
          <w:rFonts w:ascii="Verdana" w:hAnsi="Verdana"/>
          <w:sz w:val="20"/>
          <w:szCs w:val="20"/>
        </w:rPr>
        <w:t>de complexité (d</w:t>
      </w:r>
      <w:r w:rsidR="00E475F8" w:rsidRPr="00404B09">
        <w:rPr>
          <w:rFonts w:ascii="Verdana" w:hAnsi="Verdana"/>
          <w:sz w:val="20"/>
          <w:szCs w:val="20"/>
        </w:rPr>
        <w:t>u plus simple au plus complexe), de durée (de l’agir le plus court à l’agir le plus long dans le temps) et d’enjeu</w:t>
      </w:r>
      <w:r w:rsidR="00BD6FA6" w:rsidRPr="00404B09">
        <w:rPr>
          <w:rFonts w:ascii="Verdana" w:hAnsi="Verdana"/>
          <w:sz w:val="20"/>
          <w:szCs w:val="20"/>
        </w:rPr>
        <w:t xml:space="preserve"> social (du plu</w:t>
      </w:r>
      <w:r w:rsidR="008D2BB9" w:rsidRPr="00404B09">
        <w:rPr>
          <w:rFonts w:ascii="Verdana" w:hAnsi="Verdana"/>
          <w:sz w:val="20"/>
          <w:szCs w:val="20"/>
        </w:rPr>
        <w:t xml:space="preserve">s individuel au plus collectif), </w:t>
      </w:r>
      <w:r w:rsidR="008D2BB9" w:rsidRPr="00404B09">
        <w:rPr>
          <w:rFonts w:ascii="Verdana" w:hAnsi="Verdana"/>
          <w:i/>
          <w:sz w:val="20"/>
          <w:szCs w:val="20"/>
        </w:rPr>
        <w:t xml:space="preserve">tels du moins qu’ils sont </w:t>
      </w:r>
      <w:r w:rsidR="00404B09" w:rsidRPr="00404B09">
        <w:rPr>
          <w:rFonts w:ascii="Verdana" w:hAnsi="Verdana"/>
          <w:i/>
          <w:sz w:val="20"/>
          <w:szCs w:val="20"/>
        </w:rPr>
        <w:t>emboîtés</w:t>
      </w:r>
      <w:r w:rsidR="008D2BB9" w:rsidRPr="00404B09">
        <w:rPr>
          <w:rFonts w:ascii="Verdana" w:hAnsi="Verdana"/>
          <w:i/>
          <w:sz w:val="20"/>
          <w:szCs w:val="20"/>
        </w:rPr>
        <w:t xml:space="preserve"> l’un dans l’autre</w:t>
      </w:r>
      <w:r w:rsidR="00404B09" w:rsidRPr="00404B09">
        <w:rPr>
          <w:rFonts w:ascii="Verdana" w:hAnsi="Verdana"/>
          <w:i/>
          <w:sz w:val="20"/>
          <w:szCs w:val="20"/>
        </w:rPr>
        <w:t xml:space="preserve"> dans cet exemple d’action sociale</w:t>
      </w:r>
      <w:r w:rsidR="008D2BB9" w:rsidRPr="00404B09">
        <w:rPr>
          <w:rFonts w:ascii="Verdana" w:hAnsi="Verdana"/>
          <w:sz w:val="20"/>
          <w:szCs w:val="20"/>
        </w:rPr>
        <w:t>.</w:t>
      </w:r>
    </w:p>
    <w:p w14:paraId="65A0E0C5" w14:textId="77777777" w:rsidR="00404B09" w:rsidRPr="00404B09" w:rsidRDefault="00404B09" w:rsidP="00E61D80">
      <w:pPr>
        <w:spacing w:after="0" w:line="240" w:lineRule="auto"/>
        <w:jc w:val="both"/>
        <w:rPr>
          <w:rFonts w:ascii="Verdana" w:hAnsi="Verdana"/>
          <w:sz w:val="20"/>
          <w:szCs w:val="20"/>
        </w:rPr>
      </w:pPr>
    </w:p>
    <w:p w14:paraId="67DBD62E" w14:textId="77777777" w:rsidR="00404B09" w:rsidRDefault="00404B09" w:rsidP="00E61D80">
      <w:pPr>
        <w:spacing w:after="0" w:line="240" w:lineRule="auto"/>
        <w:jc w:val="both"/>
        <w:rPr>
          <w:rFonts w:ascii="Verdana" w:hAnsi="Verdana"/>
          <w:sz w:val="20"/>
          <w:szCs w:val="20"/>
        </w:rPr>
      </w:pPr>
      <w:r w:rsidRPr="00404B09">
        <w:rPr>
          <w:rFonts w:ascii="Verdana" w:hAnsi="Verdana"/>
          <w:sz w:val="20"/>
          <w:szCs w:val="20"/>
        </w:rPr>
        <w:t>Je souligne, parce que la précision ci-dessus est importante. :« analyser », « évaluer », peuvent constituer des opérations cognitives ponctuelles, comme dans cet exemple</w:t>
      </w:r>
      <w:r w:rsidR="00FE1048">
        <w:rPr>
          <w:rFonts w:ascii="Verdana" w:hAnsi="Verdana"/>
          <w:sz w:val="20"/>
          <w:szCs w:val="20"/>
        </w:rPr>
        <w:t>.</w:t>
      </w:r>
      <w:r w:rsidRPr="00404B09">
        <w:rPr>
          <w:rFonts w:ascii="Verdana" w:hAnsi="Verdana"/>
          <w:sz w:val="20"/>
          <w:szCs w:val="20"/>
        </w:rPr>
        <w:t xml:space="preserve"> Mais dans d’autres cas, ils constitueront des tâches (comme lorsqu’il s’agit d’analyser un des documents retenus pour élaborer un rapport) et même des actions sociales (comme lorsqu’un expert international évalue le système éducatif d’un pays). Comme il est expliqué aussi dans le tableau suivant, ce qui constitue une tâche ponctuelle au sein d’une action globale peut, à un autre moment, </w:t>
      </w:r>
      <w:r w:rsidR="005918D2">
        <w:rPr>
          <w:rFonts w:ascii="Verdana" w:hAnsi="Verdana"/>
          <w:sz w:val="20"/>
          <w:szCs w:val="20"/>
        </w:rPr>
        <w:t>ou</w:t>
      </w:r>
      <w:r w:rsidRPr="00404B09">
        <w:rPr>
          <w:rFonts w:ascii="Verdana" w:hAnsi="Verdana"/>
          <w:sz w:val="20"/>
          <w:szCs w:val="20"/>
        </w:rPr>
        <w:t xml:space="preserve"> pour des acteurs différents, avoir valeur d’action sociale à part entière. </w:t>
      </w:r>
      <w:r w:rsidRPr="0029793A">
        <w:rPr>
          <w:rFonts w:ascii="Verdana" w:hAnsi="Verdana"/>
          <w:sz w:val="20"/>
          <w:szCs w:val="20"/>
        </w:rPr>
        <w:t xml:space="preserve">Ces phénomènes d’emboîtement et de variabilité de statut sont quelques-uns des facteurs de complexité touchant les notions du champ sémantique de l' « agir » en didactique des langues (voir la conclusion générale de </w:t>
      </w:r>
      <w:hyperlink r:id="rId13" w:history="1">
        <w:r w:rsidR="0029793A" w:rsidRPr="005A1016">
          <w:rPr>
            <w:rStyle w:val="Lienhypertexte"/>
            <w:rFonts w:ascii="Verdana" w:hAnsi="Verdana"/>
            <w:sz w:val="20"/>
            <w:szCs w:val="20"/>
          </w:rPr>
          <w:t>PUREN 2016g</w:t>
        </w:r>
      </w:hyperlink>
      <w:r w:rsidRPr="0029793A">
        <w:rPr>
          <w:rFonts w:ascii="Verdana" w:hAnsi="Verdana"/>
          <w:sz w:val="20"/>
          <w:szCs w:val="20"/>
        </w:rPr>
        <w:t xml:space="preserve">, </w:t>
      </w:r>
      <w:r w:rsidR="0029793A" w:rsidRPr="0029793A">
        <w:rPr>
          <w:rFonts w:ascii="Verdana" w:hAnsi="Verdana"/>
          <w:sz w:val="20"/>
          <w:szCs w:val="20"/>
        </w:rPr>
        <w:t xml:space="preserve">pp 73-75, </w:t>
      </w:r>
      <w:r w:rsidRPr="0029793A">
        <w:rPr>
          <w:rFonts w:ascii="Verdana" w:hAnsi="Verdana"/>
          <w:sz w:val="20"/>
          <w:szCs w:val="20"/>
        </w:rPr>
        <w:t>qui propose une synthèse de ces différents facteurs).</w:t>
      </w:r>
    </w:p>
    <w:p w14:paraId="77B4A323" w14:textId="77777777" w:rsidR="00FE1048" w:rsidRDefault="00FE1048" w:rsidP="00E61D80">
      <w:pPr>
        <w:spacing w:after="0" w:line="240" w:lineRule="auto"/>
        <w:jc w:val="both"/>
        <w:rPr>
          <w:rFonts w:ascii="Verdana" w:hAnsi="Verdana"/>
          <w:sz w:val="20"/>
          <w:szCs w:val="20"/>
        </w:rPr>
      </w:pPr>
    </w:p>
    <w:p w14:paraId="67E35C4A" w14:textId="7C660D6E" w:rsidR="00C56F55" w:rsidRDefault="00FE1048" w:rsidP="00C56F55">
      <w:pPr>
        <w:spacing w:after="0" w:line="240" w:lineRule="auto"/>
        <w:jc w:val="both"/>
        <w:rPr>
          <w:rFonts w:ascii="Verdana" w:hAnsi="Verdana"/>
          <w:sz w:val="20"/>
          <w:szCs w:val="20"/>
        </w:rPr>
      </w:pPr>
      <w:r>
        <w:rPr>
          <w:rFonts w:ascii="Verdana" w:hAnsi="Verdana"/>
          <w:sz w:val="20"/>
          <w:szCs w:val="20"/>
        </w:rPr>
        <w:lastRenderedPageBreak/>
        <w:t xml:space="preserve">L’exemple pris pour </w:t>
      </w:r>
      <w:r w:rsidR="001A5474">
        <w:rPr>
          <w:rFonts w:ascii="Verdana" w:hAnsi="Verdana"/>
          <w:sz w:val="20"/>
          <w:szCs w:val="20"/>
        </w:rPr>
        <w:t>l</w:t>
      </w:r>
      <w:r>
        <w:rPr>
          <w:rFonts w:ascii="Verdana" w:hAnsi="Verdana"/>
          <w:sz w:val="20"/>
          <w:szCs w:val="20"/>
        </w:rPr>
        <w:t xml:space="preserve">e T.P. </w:t>
      </w:r>
      <w:r w:rsidR="001A5474">
        <w:rPr>
          <w:rFonts w:ascii="Verdana" w:hAnsi="Verdana"/>
          <w:sz w:val="20"/>
          <w:szCs w:val="20"/>
        </w:rPr>
        <w:t xml:space="preserve">de la page 4 </w:t>
      </w:r>
      <w:r>
        <w:rPr>
          <w:rFonts w:ascii="Verdana" w:hAnsi="Verdana"/>
          <w:sz w:val="20"/>
          <w:szCs w:val="20"/>
        </w:rPr>
        <w:t xml:space="preserve">est un exemple d’usage. </w:t>
      </w:r>
      <w:r w:rsidRPr="00FE1048">
        <w:rPr>
          <w:rFonts w:ascii="Verdana" w:hAnsi="Verdana"/>
          <w:sz w:val="20"/>
          <w:szCs w:val="20"/>
        </w:rPr>
        <w:t>Pour l'agir apprentissage, il faut sans doute ajouter un niveau d'</w:t>
      </w:r>
      <w:r>
        <w:rPr>
          <w:rFonts w:ascii="Verdana" w:hAnsi="Verdana"/>
          <w:sz w:val="20"/>
          <w:szCs w:val="20"/>
        </w:rPr>
        <w:t> « </w:t>
      </w:r>
      <w:r w:rsidRPr="00FE1048">
        <w:rPr>
          <w:rFonts w:ascii="Verdana" w:hAnsi="Verdana"/>
          <w:sz w:val="20"/>
          <w:szCs w:val="20"/>
        </w:rPr>
        <w:t>agir</w:t>
      </w:r>
      <w:r>
        <w:rPr>
          <w:rFonts w:ascii="Verdana" w:hAnsi="Verdana"/>
          <w:sz w:val="20"/>
          <w:szCs w:val="20"/>
        </w:rPr>
        <w:t> »</w:t>
      </w:r>
      <w:r w:rsidRPr="00FE1048">
        <w:rPr>
          <w:rFonts w:ascii="Verdana" w:hAnsi="Verdana"/>
          <w:sz w:val="20"/>
          <w:szCs w:val="20"/>
        </w:rPr>
        <w:t xml:space="preserve"> que je propose d'appeler </w:t>
      </w:r>
      <w:r>
        <w:rPr>
          <w:rFonts w:ascii="Verdana" w:hAnsi="Verdana"/>
          <w:sz w:val="20"/>
          <w:szCs w:val="20"/>
        </w:rPr>
        <w:t>« </w:t>
      </w:r>
      <w:r w:rsidRPr="00FE1048">
        <w:rPr>
          <w:rFonts w:ascii="Verdana" w:hAnsi="Verdana"/>
          <w:sz w:val="20"/>
          <w:szCs w:val="20"/>
        </w:rPr>
        <w:t>opération langagière</w:t>
      </w:r>
      <w:r>
        <w:rPr>
          <w:rFonts w:ascii="Verdana" w:hAnsi="Verdana"/>
          <w:sz w:val="20"/>
          <w:szCs w:val="20"/>
        </w:rPr>
        <w:t> »</w:t>
      </w:r>
      <w:r w:rsidRPr="00FE1048">
        <w:rPr>
          <w:rFonts w:ascii="Verdana" w:hAnsi="Verdana"/>
          <w:sz w:val="20"/>
          <w:szCs w:val="20"/>
        </w:rPr>
        <w:t>, dans le sens d'une activité consciente portant sur la langue réalisée au cours du processus de production ou de compréhension langagière</w:t>
      </w:r>
      <w:r>
        <w:rPr>
          <w:rFonts w:ascii="Verdana" w:hAnsi="Verdana"/>
          <w:sz w:val="20"/>
          <w:szCs w:val="20"/>
        </w:rPr>
        <w:t>s</w:t>
      </w:r>
      <w:r w:rsidRPr="00FE1048">
        <w:rPr>
          <w:rFonts w:ascii="Verdana" w:hAnsi="Verdana"/>
          <w:sz w:val="20"/>
          <w:szCs w:val="20"/>
        </w:rPr>
        <w:t xml:space="preserve">. </w:t>
      </w:r>
      <w:r>
        <w:rPr>
          <w:rFonts w:ascii="Verdana" w:hAnsi="Verdana"/>
          <w:sz w:val="20"/>
          <w:szCs w:val="20"/>
        </w:rPr>
        <w:t>Par exemple, p</w:t>
      </w:r>
      <w:r w:rsidRPr="00FE1048">
        <w:rPr>
          <w:rFonts w:ascii="Verdana" w:hAnsi="Verdana"/>
          <w:sz w:val="20"/>
          <w:szCs w:val="20"/>
        </w:rPr>
        <w:t xml:space="preserve">our </w:t>
      </w:r>
      <w:r>
        <w:rPr>
          <w:rFonts w:ascii="Verdana" w:hAnsi="Verdana"/>
          <w:sz w:val="20"/>
          <w:szCs w:val="20"/>
        </w:rPr>
        <w:t>« </w:t>
      </w:r>
      <w:r w:rsidRPr="00FE1048">
        <w:rPr>
          <w:rFonts w:ascii="Verdana" w:hAnsi="Verdana"/>
          <w:sz w:val="20"/>
          <w:szCs w:val="20"/>
        </w:rPr>
        <w:t>raconter une histoire</w:t>
      </w:r>
      <w:r>
        <w:rPr>
          <w:rFonts w:ascii="Verdana" w:hAnsi="Verdana"/>
          <w:sz w:val="20"/>
          <w:szCs w:val="20"/>
        </w:rPr>
        <w:t> »</w:t>
      </w:r>
      <w:r w:rsidRPr="00FE1048">
        <w:rPr>
          <w:rFonts w:ascii="Verdana" w:hAnsi="Verdana"/>
          <w:sz w:val="20"/>
          <w:szCs w:val="20"/>
        </w:rPr>
        <w:t xml:space="preserve">, </w:t>
      </w:r>
      <w:r>
        <w:rPr>
          <w:rFonts w:ascii="Verdana" w:hAnsi="Verdana"/>
          <w:sz w:val="20"/>
          <w:szCs w:val="20"/>
        </w:rPr>
        <w:t xml:space="preserve">ce </w:t>
      </w:r>
      <w:r w:rsidRPr="00FE1048">
        <w:rPr>
          <w:rFonts w:ascii="Verdana" w:hAnsi="Verdana"/>
          <w:sz w:val="20"/>
          <w:szCs w:val="20"/>
        </w:rPr>
        <w:t>qui est</w:t>
      </w:r>
      <w:r>
        <w:rPr>
          <w:rFonts w:ascii="Verdana" w:hAnsi="Verdana"/>
          <w:sz w:val="20"/>
          <w:szCs w:val="20"/>
        </w:rPr>
        <w:t xml:space="preserve"> </w:t>
      </w:r>
      <w:r w:rsidRPr="00FE1048">
        <w:rPr>
          <w:rFonts w:ascii="Verdana" w:hAnsi="Verdana"/>
          <w:sz w:val="20"/>
          <w:szCs w:val="20"/>
        </w:rPr>
        <w:t xml:space="preserve">une </w:t>
      </w:r>
      <w:r>
        <w:rPr>
          <w:rFonts w:ascii="Verdana" w:hAnsi="Verdana"/>
          <w:sz w:val="20"/>
          <w:szCs w:val="20"/>
        </w:rPr>
        <w:t>« </w:t>
      </w:r>
      <w:r w:rsidRPr="00FE1048">
        <w:rPr>
          <w:rFonts w:ascii="Verdana" w:hAnsi="Verdana"/>
          <w:sz w:val="20"/>
          <w:szCs w:val="20"/>
        </w:rPr>
        <w:t>activité langagière</w:t>
      </w:r>
      <w:r>
        <w:rPr>
          <w:rFonts w:ascii="Verdana" w:hAnsi="Verdana"/>
          <w:sz w:val="20"/>
          <w:szCs w:val="20"/>
        </w:rPr>
        <w:t> »</w:t>
      </w:r>
      <w:r w:rsidRPr="00FE1048">
        <w:rPr>
          <w:rFonts w:ascii="Verdana" w:hAnsi="Verdana"/>
          <w:sz w:val="20"/>
          <w:szCs w:val="20"/>
        </w:rPr>
        <w:t xml:space="preserve"> </w:t>
      </w:r>
      <w:r w:rsidR="00C56F55">
        <w:rPr>
          <w:rFonts w:ascii="Verdana" w:hAnsi="Verdana"/>
          <w:sz w:val="20"/>
          <w:szCs w:val="20"/>
        </w:rPr>
        <w:t>e</w:t>
      </w:r>
      <w:r w:rsidR="00B83753">
        <w:rPr>
          <w:rFonts w:ascii="Verdana" w:hAnsi="Verdana"/>
          <w:sz w:val="20"/>
          <w:szCs w:val="20"/>
        </w:rPr>
        <w:t>n</w:t>
      </w:r>
      <w:r w:rsidR="00C56F55">
        <w:rPr>
          <w:rFonts w:ascii="Verdana" w:hAnsi="Verdana"/>
          <w:sz w:val="20"/>
          <w:szCs w:val="20"/>
        </w:rPr>
        <w:t xml:space="preserve"> termes d’usage </w:t>
      </w:r>
      <w:r w:rsidRPr="00FE1048">
        <w:rPr>
          <w:rFonts w:ascii="Verdana" w:hAnsi="Verdana"/>
          <w:sz w:val="20"/>
          <w:szCs w:val="20"/>
        </w:rPr>
        <w:t>(cf. le point 8 dans le tableau du corrigé), un apprenant va devoir</w:t>
      </w:r>
      <w:r w:rsidR="00C56F55">
        <w:rPr>
          <w:rFonts w:ascii="Verdana" w:hAnsi="Verdana"/>
          <w:sz w:val="20"/>
          <w:szCs w:val="20"/>
        </w:rPr>
        <w:t xml:space="preserve"> en tant que tel (dans son processus d’apprentissage) </w:t>
      </w:r>
      <w:r w:rsidRPr="00FE1048">
        <w:rPr>
          <w:rFonts w:ascii="Verdana" w:hAnsi="Verdana"/>
          <w:sz w:val="20"/>
          <w:szCs w:val="20"/>
        </w:rPr>
        <w:t>, s'il n'a pas encore automatisé les structures correspondantes, passer des verbes de la forme infinitive à la forme du passé composé, ordonner les phrases suivant les différents moments, choisir et placer des connecteurs temporels</w:t>
      </w:r>
      <w:r w:rsidR="00C56F55">
        <w:rPr>
          <w:rFonts w:ascii="Verdana" w:hAnsi="Verdana"/>
          <w:sz w:val="20"/>
          <w:szCs w:val="20"/>
        </w:rPr>
        <w:t> : autant d’ « opérations langagières ».</w:t>
      </w:r>
      <w:r w:rsidR="00C56F55" w:rsidRPr="00C56F55">
        <w:rPr>
          <w:rFonts w:ascii="Verdana" w:hAnsi="Verdana"/>
          <w:sz w:val="20"/>
          <w:szCs w:val="20"/>
        </w:rPr>
        <w:t xml:space="preserve"> </w:t>
      </w:r>
      <w:r w:rsidR="00C56F55">
        <w:rPr>
          <w:rFonts w:ascii="Verdana" w:hAnsi="Verdana"/>
          <w:sz w:val="20"/>
          <w:szCs w:val="20"/>
        </w:rPr>
        <w:t>(Paragraphe ajouté en date du 27 janvier 2018).</w:t>
      </w:r>
    </w:p>
    <w:p w14:paraId="1858765A" w14:textId="77777777" w:rsidR="00FE1048" w:rsidRPr="00404B09" w:rsidRDefault="00FE1048" w:rsidP="00E61D80">
      <w:pPr>
        <w:spacing w:after="0" w:line="240" w:lineRule="auto"/>
        <w:jc w:val="both"/>
        <w:rPr>
          <w:rFonts w:ascii="Verdana" w:hAnsi="Verdana"/>
          <w:sz w:val="20"/>
          <w:szCs w:val="20"/>
        </w:rPr>
      </w:pPr>
    </w:p>
    <w:p w14:paraId="14C10AA7" w14:textId="77777777" w:rsidR="00FE399B" w:rsidRPr="001E5D45" w:rsidRDefault="00FE399B" w:rsidP="00FE399B">
      <w:pPr>
        <w:spacing w:after="0" w:line="240" w:lineRule="auto"/>
        <w:rPr>
          <w:rFonts w:ascii="Verdana" w:hAnsi="Verdana"/>
          <w:sz w:val="20"/>
          <w:szCs w:val="20"/>
        </w:rPr>
      </w:pPr>
    </w:p>
    <w:tbl>
      <w:tblPr>
        <w:tblStyle w:val="Grilledutableau"/>
        <w:tblW w:w="0" w:type="auto"/>
        <w:tblLook w:val="04A0" w:firstRow="1" w:lastRow="0" w:firstColumn="1" w:lastColumn="0" w:noHBand="0" w:noVBand="1"/>
      </w:tblPr>
      <w:tblGrid>
        <w:gridCol w:w="1797"/>
        <w:gridCol w:w="7831"/>
      </w:tblGrid>
      <w:tr w:rsidR="00FE399B" w:rsidRPr="001E5D45" w14:paraId="344628EE" w14:textId="77777777" w:rsidTr="00DF6447">
        <w:trPr>
          <w:trHeight w:val="397"/>
        </w:trPr>
        <w:tc>
          <w:tcPr>
            <w:tcW w:w="1809" w:type="dxa"/>
            <w:vAlign w:val="center"/>
          </w:tcPr>
          <w:p w14:paraId="4CC265BC" w14:textId="77777777" w:rsidR="00FE399B" w:rsidRPr="001E5D45" w:rsidRDefault="00CF0EBC" w:rsidP="00CF0EBC">
            <w:pPr>
              <w:jc w:val="center"/>
              <w:rPr>
                <w:rFonts w:ascii="Verdana" w:hAnsi="Verdana"/>
                <w:b/>
                <w:sz w:val="20"/>
                <w:szCs w:val="20"/>
              </w:rPr>
            </w:pPr>
            <w:r>
              <w:rPr>
                <w:rFonts w:ascii="Verdana" w:hAnsi="Verdana"/>
                <w:b/>
                <w:sz w:val="20"/>
                <w:szCs w:val="20"/>
              </w:rPr>
              <w:t>NIVEAU(X)</w:t>
            </w:r>
            <w:r w:rsidR="00FE399B" w:rsidRPr="001E5D45">
              <w:rPr>
                <w:rFonts w:ascii="Verdana" w:hAnsi="Verdana"/>
                <w:b/>
                <w:sz w:val="20"/>
                <w:szCs w:val="20"/>
              </w:rPr>
              <w:t xml:space="preserve"> </w:t>
            </w:r>
            <w:r>
              <w:rPr>
                <w:rFonts w:ascii="Verdana" w:hAnsi="Verdana"/>
                <w:b/>
                <w:sz w:val="20"/>
                <w:szCs w:val="20"/>
              </w:rPr>
              <w:t>D’AGIR</w:t>
            </w:r>
          </w:p>
        </w:tc>
        <w:tc>
          <w:tcPr>
            <w:tcW w:w="7969" w:type="dxa"/>
            <w:vAlign w:val="center"/>
          </w:tcPr>
          <w:p w14:paraId="58C5B88F" w14:textId="77777777" w:rsidR="00FE399B" w:rsidRPr="001E5D45" w:rsidRDefault="00EB24DC" w:rsidP="008D2BB9">
            <w:pPr>
              <w:jc w:val="center"/>
              <w:rPr>
                <w:rFonts w:ascii="Verdana" w:hAnsi="Verdana"/>
                <w:b/>
                <w:sz w:val="20"/>
                <w:szCs w:val="20"/>
              </w:rPr>
            </w:pPr>
            <w:r w:rsidRPr="001E5D45">
              <w:rPr>
                <w:rFonts w:ascii="Verdana" w:hAnsi="Verdana"/>
                <w:b/>
                <w:sz w:val="20"/>
                <w:szCs w:val="20"/>
              </w:rPr>
              <w:t>EXEMPLES</w:t>
            </w:r>
            <w:r>
              <w:rPr>
                <w:rFonts w:ascii="Verdana" w:hAnsi="Verdana"/>
                <w:b/>
                <w:sz w:val="20"/>
                <w:szCs w:val="20"/>
              </w:rPr>
              <w:t xml:space="preserve"> ET EXPLICATIONS</w:t>
            </w:r>
          </w:p>
        </w:tc>
      </w:tr>
      <w:tr w:rsidR="00FE399B" w:rsidRPr="001E5D45" w14:paraId="7B4542A1" w14:textId="77777777" w:rsidTr="00DF6447">
        <w:trPr>
          <w:trHeight w:val="373"/>
        </w:trPr>
        <w:tc>
          <w:tcPr>
            <w:tcW w:w="1809" w:type="dxa"/>
          </w:tcPr>
          <w:p w14:paraId="029D0A48" w14:textId="77777777" w:rsidR="00FE399B" w:rsidRPr="001E5D45" w:rsidRDefault="00872132" w:rsidP="008D2BB9">
            <w:pPr>
              <w:rPr>
                <w:rFonts w:ascii="Verdana" w:hAnsi="Verdana"/>
                <w:sz w:val="20"/>
                <w:szCs w:val="20"/>
              </w:rPr>
            </w:pPr>
            <w:r>
              <w:rPr>
                <w:rFonts w:ascii="Verdana" w:hAnsi="Verdana"/>
                <w:b/>
                <w:sz w:val="20"/>
                <w:szCs w:val="20"/>
              </w:rPr>
              <w:t>(1)</w:t>
            </w:r>
            <w:r w:rsidR="0016347D" w:rsidRPr="001E5D45">
              <w:rPr>
                <w:rFonts w:ascii="Verdana" w:hAnsi="Verdana"/>
                <w:sz w:val="20"/>
                <w:szCs w:val="20"/>
              </w:rPr>
              <w:t xml:space="preserve"> </w:t>
            </w:r>
            <w:r w:rsidR="00E61D80">
              <w:rPr>
                <w:rFonts w:ascii="Verdana" w:hAnsi="Verdana"/>
                <w:sz w:val="20"/>
                <w:szCs w:val="20"/>
              </w:rPr>
              <w:t>« </w:t>
            </w:r>
            <w:r w:rsidR="00FE399B" w:rsidRPr="001E5D45">
              <w:rPr>
                <w:rFonts w:ascii="Verdana" w:hAnsi="Verdana"/>
                <w:sz w:val="20"/>
                <w:szCs w:val="20"/>
              </w:rPr>
              <w:t>opéra</w:t>
            </w:r>
            <w:r w:rsidR="00E475F8">
              <w:rPr>
                <w:rFonts w:ascii="Verdana" w:hAnsi="Verdana"/>
                <w:sz w:val="20"/>
                <w:szCs w:val="20"/>
              </w:rPr>
              <w:softHyphen/>
            </w:r>
            <w:r w:rsidR="00FE399B" w:rsidRPr="001E5D45">
              <w:rPr>
                <w:rFonts w:ascii="Verdana" w:hAnsi="Verdana"/>
                <w:sz w:val="20"/>
                <w:szCs w:val="20"/>
              </w:rPr>
              <w:t>tion cognitive</w:t>
            </w:r>
            <w:r w:rsidR="00E61D80">
              <w:rPr>
                <w:rFonts w:ascii="Verdana" w:hAnsi="Verdana"/>
                <w:sz w:val="20"/>
                <w:szCs w:val="20"/>
              </w:rPr>
              <w:t> »</w:t>
            </w:r>
          </w:p>
        </w:tc>
        <w:tc>
          <w:tcPr>
            <w:tcW w:w="7969" w:type="dxa"/>
          </w:tcPr>
          <w:p w14:paraId="5DA01B23" w14:textId="77777777" w:rsidR="00DF4CBB" w:rsidRDefault="00FE399B" w:rsidP="0026454D">
            <w:pPr>
              <w:spacing w:after="60"/>
              <w:rPr>
                <w:rFonts w:ascii="Verdana" w:hAnsi="Verdana"/>
                <w:sz w:val="19"/>
                <w:szCs w:val="19"/>
              </w:rPr>
            </w:pPr>
            <w:r w:rsidRPr="00C927E7">
              <w:rPr>
                <w:rFonts w:ascii="Verdana" w:hAnsi="Verdana"/>
                <w:sz w:val="19"/>
                <w:szCs w:val="19"/>
              </w:rPr>
              <w:t>analyser, synthétiser, comparer, évaluer,...</w:t>
            </w:r>
          </w:p>
          <w:p w14:paraId="623DE349" w14:textId="77777777" w:rsidR="00DF4CBB" w:rsidRPr="00C927E7" w:rsidRDefault="00DF4CBB" w:rsidP="0026454D">
            <w:pPr>
              <w:spacing w:after="60"/>
              <w:rPr>
                <w:rFonts w:ascii="Verdana" w:hAnsi="Verdana"/>
                <w:sz w:val="19"/>
                <w:szCs w:val="19"/>
              </w:rPr>
            </w:pPr>
            <w:r>
              <w:rPr>
                <w:rFonts w:ascii="Verdana" w:hAnsi="Verdana"/>
                <w:sz w:val="19"/>
                <w:szCs w:val="19"/>
              </w:rPr>
              <w:t>C</w:t>
            </w:r>
            <w:r w:rsidRPr="00DF4CBB">
              <w:rPr>
                <w:rFonts w:ascii="Verdana" w:hAnsi="Verdana"/>
                <w:sz w:val="19"/>
                <w:szCs w:val="19"/>
              </w:rPr>
              <w:t xml:space="preserve">es </w:t>
            </w:r>
            <w:r>
              <w:rPr>
                <w:rFonts w:ascii="Verdana" w:hAnsi="Verdana"/>
                <w:sz w:val="19"/>
                <w:szCs w:val="19"/>
              </w:rPr>
              <w:t>« </w:t>
            </w:r>
            <w:r w:rsidRPr="00DF4CBB">
              <w:rPr>
                <w:rFonts w:ascii="Verdana" w:hAnsi="Verdana"/>
                <w:sz w:val="19"/>
                <w:szCs w:val="19"/>
              </w:rPr>
              <w:t>opérations cognitives</w:t>
            </w:r>
            <w:r>
              <w:rPr>
                <w:rFonts w:ascii="Verdana" w:hAnsi="Verdana"/>
                <w:sz w:val="19"/>
                <w:szCs w:val="19"/>
              </w:rPr>
              <w:t> »</w:t>
            </w:r>
            <w:r w:rsidRPr="00DF4CBB">
              <w:rPr>
                <w:rFonts w:ascii="Verdana" w:hAnsi="Verdana"/>
                <w:sz w:val="19"/>
                <w:szCs w:val="19"/>
              </w:rPr>
              <w:t xml:space="preserve">, ou </w:t>
            </w:r>
            <w:r>
              <w:rPr>
                <w:rFonts w:ascii="Verdana" w:hAnsi="Verdana"/>
                <w:sz w:val="19"/>
                <w:szCs w:val="19"/>
              </w:rPr>
              <w:t>« </w:t>
            </w:r>
            <w:r w:rsidRPr="00DF4CBB">
              <w:rPr>
                <w:rFonts w:ascii="Verdana" w:hAnsi="Verdana"/>
                <w:sz w:val="19"/>
                <w:szCs w:val="19"/>
              </w:rPr>
              <w:t>activités intellectuelles</w:t>
            </w:r>
            <w:r>
              <w:rPr>
                <w:rFonts w:ascii="Verdana" w:hAnsi="Verdana"/>
                <w:sz w:val="19"/>
                <w:szCs w:val="19"/>
              </w:rPr>
              <w:t> » (ce qui les distingue des « activités langagières »</w:t>
            </w:r>
            <w:r w:rsidRPr="00DF4CBB">
              <w:rPr>
                <w:rFonts w:ascii="Verdana" w:hAnsi="Verdana"/>
                <w:sz w:val="19"/>
                <w:szCs w:val="19"/>
              </w:rPr>
              <w:t xml:space="preserve">, peuvent être de niveaux très différents de complexité. On se reportera sur ce point </w:t>
            </w:r>
            <w:r>
              <w:rPr>
                <w:rFonts w:ascii="Verdana" w:hAnsi="Verdana"/>
                <w:sz w:val="19"/>
                <w:szCs w:val="19"/>
              </w:rPr>
              <w:t xml:space="preserve">en Bibliothèque de travail </w:t>
            </w:r>
            <w:r w:rsidRPr="00DF4CBB">
              <w:rPr>
                <w:rFonts w:ascii="Verdana" w:hAnsi="Verdana"/>
                <w:sz w:val="19"/>
                <w:szCs w:val="19"/>
              </w:rPr>
              <w:t xml:space="preserve">au </w:t>
            </w:r>
            <w:hyperlink r:id="rId14" w:history="1">
              <w:r w:rsidRPr="00DF4CBB">
                <w:rPr>
                  <w:rStyle w:val="Lienhypertexte"/>
                  <w:rFonts w:ascii="Verdana" w:hAnsi="Verdana"/>
                  <w:sz w:val="19"/>
                  <w:szCs w:val="19"/>
                </w:rPr>
                <w:t>Document 027</w:t>
              </w:r>
            </w:hyperlink>
            <w:r w:rsidRPr="00DF4CBB">
              <w:rPr>
                <w:rFonts w:ascii="Verdana" w:hAnsi="Verdana"/>
                <w:sz w:val="19"/>
                <w:szCs w:val="19"/>
              </w:rPr>
              <w:t xml:space="preserve"> </w:t>
            </w:r>
            <w:r>
              <w:rPr>
                <w:rFonts w:ascii="Verdana" w:hAnsi="Verdana"/>
                <w:sz w:val="19"/>
                <w:szCs w:val="19"/>
              </w:rPr>
              <w:t>« </w:t>
            </w:r>
            <w:r w:rsidRPr="00DF4CBB">
              <w:rPr>
                <w:rFonts w:ascii="Verdana" w:hAnsi="Verdana"/>
                <w:sz w:val="19"/>
                <w:szCs w:val="19"/>
              </w:rPr>
              <w:t>Taxonomie des activités intellectuelles de D'Hainaut (adaptation à la DLC)</w:t>
            </w:r>
            <w:r>
              <w:rPr>
                <w:rFonts w:ascii="Verdana" w:hAnsi="Verdana"/>
                <w:sz w:val="19"/>
                <w:szCs w:val="19"/>
              </w:rPr>
              <w:t> ».</w:t>
            </w:r>
          </w:p>
        </w:tc>
      </w:tr>
      <w:tr w:rsidR="00FE399B" w:rsidRPr="001E5D45" w14:paraId="799F65F8" w14:textId="77777777" w:rsidTr="00DF6447">
        <w:trPr>
          <w:trHeight w:val="833"/>
        </w:trPr>
        <w:tc>
          <w:tcPr>
            <w:tcW w:w="1809" w:type="dxa"/>
          </w:tcPr>
          <w:p w14:paraId="2B1A15E6" w14:textId="77777777" w:rsidR="00DF6447" w:rsidRDefault="00872132" w:rsidP="00DF6447">
            <w:pPr>
              <w:rPr>
                <w:rFonts w:ascii="Verdana" w:hAnsi="Verdana"/>
                <w:sz w:val="20"/>
                <w:szCs w:val="20"/>
              </w:rPr>
            </w:pPr>
            <w:r>
              <w:rPr>
                <w:rFonts w:ascii="Verdana" w:hAnsi="Verdana"/>
                <w:b/>
                <w:sz w:val="20"/>
                <w:szCs w:val="20"/>
              </w:rPr>
              <w:t>(2)</w:t>
            </w:r>
            <w:r w:rsidR="0016347D" w:rsidRPr="001E5D45">
              <w:rPr>
                <w:rFonts w:ascii="Verdana" w:hAnsi="Verdana"/>
                <w:sz w:val="20"/>
                <w:szCs w:val="20"/>
              </w:rPr>
              <w:t xml:space="preserve"> </w:t>
            </w:r>
            <w:r w:rsidR="00FE399B" w:rsidRPr="001E5D45">
              <w:rPr>
                <w:rFonts w:ascii="Verdana" w:hAnsi="Verdana"/>
                <w:sz w:val="20"/>
                <w:szCs w:val="20"/>
              </w:rPr>
              <w:t>« acte de parole »</w:t>
            </w:r>
          </w:p>
          <w:p w14:paraId="22C6D254" w14:textId="77777777" w:rsidR="00FE399B" w:rsidRPr="001E5D45" w:rsidRDefault="00DF6447" w:rsidP="00DF6447">
            <w:pPr>
              <w:rPr>
                <w:rFonts w:ascii="Verdana" w:hAnsi="Verdana"/>
                <w:sz w:val="20"/>
                <w:szCs w:val="20"/>
              </w:rPr>
            </w:pPr>
            <w:r>
              <w:rPr>
                <w:rFonts w:ascii="Verdana" w:hAnsi="Verdana"/>
                <w:sz w:val="20"/>
                <w:szCs w:val="20"/>
              </w:rPr>
              <w:t>(+ « notion »</w:t>
            </w:r>
            <w:r w:rsidR="00FE399B" w:rsidRPr="001E5D45">
              <w:rPr>
                <w:rFonts w:ascii="Verdana" w:hAnsi="Verdana"/>
                <w:sz w:val="20"/>
                <w:szCs w:val="20"/>
              </w:rPr>
              <w:t>)</w:t>
            </w:r>
          </w:p>
        </w:tc>
        <w:tc>
          <w:tcPr>
            <w:tcW w:w="7969" w:type="dxa"/>
          </w:tcPr>
          <w:p w14:paraId="407F95B7" w14:textId="77777777" w:rsidR="00FE399B" w:rsidRPr="00C927E7" w:rsidRDefault="00CF0EBC" w:rsidP="001857D3">
            <w:pPr>
              <w:spacing w:after="60"/>
              <w:jc w:val="both"/>
              <w:rPr>
                <w:rFonts w:ascii="Verdana" w:hAnsi="Verdana"/>
                <w:sz w:val="19"/>
                <w:szCs w:val="19"/>
              </w:rPr>
            </w:pPr>
            <w:r w:rsidRPr="00C927E7">
              <w:rPr>
                <w:rFonts w:ascii="Verdana" w:hAnsi="Verdana"/>
                <w:sz w:val="19"/>
                <w:szCs w:val="19"/>
              </w:rPr>
              <w:t xml:space="preserve">saluer, s’excuser, se justifier (actes de parole) ; </w:t>
            </w:r>
            <w:r w:rsidR="00FE399B" w:rsidRPr="00C927E7">
              <w:rPr>
                <w:rFonts w:ascii="Verdana" w:hAnsi="Verdana"/>
                <w:sz w:val="19"/>
                <w:szCs w:val="19"/>
              </w:rPr>
              <w:t xml:space="preserve">demander (acte de parole) </w:t>
            </w:r>
            <w:r w:rsidRPr="00C927E7">
              <w:rPr>
                <w:rFonts w:ascii="Verdana" w:hAnsi="Verdana"/>
                <w:sz w:val="19"/>
                <w:szCs w:val="19"/>
              </w:rPr>
              <w:t xml:space="preserve">à quelqu'un </w:t>
            </w:r>
            <w:r w:rsidR="00FE399B" w:rsidRPr="00C927E7">
              <w:rPr>
                <w:rFonts w:ascii="Verdana" w:hAnsi="Verdana"/>
                <w:sz w:val="19"/>
                <w:szCs w:val="19"/>
              </w:rPr>
              <w:t>comment il s'appelle (</w:t>
            </w:r>
            <w:r w:rsidR="00DF6447" w:rsidRPr="00C927E7">
              <w:rPr>
                <w:rFonts w:ascii="Verdana" w:hAnsi="Verdana"/>
                <w:sz w:val="19"/>
                <w:szCs w:val="19"/>
              </w:rPr>
              <w:t>notion</w:t>
            </w:r>
            <w:r w:rsidR="0019112E" w:rsidRPr="00C927E7">
              <w:rPr>
                <w:rFonts w:ascii="Verdana" w:hAnsi="Verdana"/>
                <w:sz w:val="19"/>
                <w:szCs w:val="19"/>
              </w:rPr>
              <w:t xml:space="preserve"> : </w:t>
            </w:r>
            <w:r w:rsidR="00FE399B" w:rsidRPr="00C927E7">
              <w:rPr>
                <w:rFonts w:ascii="Verdana" w:hAnsi="Verdana"/>
                <w:sz w:val="19"/>
                <w:szCs w:val="19"/>
              </w:rPr>
              <w:t xml:space="preserve">identité), </w:t>
            </w:r>
            <w:r w:rsidR="001857D3" w:rsidRPr="00C927E7">
              <w:rPr>
                <w:rFonts w:ascii="Verdana" w:hAnsi="Verdana"/>
                <w:sz w:val="19"/>
                <w:szCs w:val="19"/>
              </w:rPr>
              <w:t>quel</w:t>
            </w:r>
            <w:r w:rsidR="00DF6447" w:rsidRPr="00C927E7">
              <w:rPr>
                <w:rFonts w:ascii="Verdana" w:hAnsi="Verdana"/>
                <w:sz w:val="19"/>
                <w:szCs w:val="19"/>
              </w:rPr>
              <w:t xml:space="preserve"> est </w:t>
            </w:r>
            <w:r w:rsidR="001857D3" w:rsidRPr="00C927E7">
              <w:rPr>
                <w:rFonts w:ascii="Verdana" w:hAnsi="Verdana"/>
                <w:sz w:val="19"/>
                <w:szCs w:val="19"/>
              </w:rPr>
              <w:t xml:space="preserve">son pays </w:t>
            </w:r>
            <w:r w:rsidR="00FE399B" w:rsidRPr="00C927E7">
              <w:rPr>
                <w:rFonts w:ascii="Verdana" w:hAnsi="Verdana"/>
                <w:sz w:val="19"/>
                <w:szCs w:val="19"/>
              </w:rPr>
              <w:t>(</w:t>
            </w:r>
            <w:r w:rsidR="001857D3" w:rsidRPr="00C927E7">
              <w:rPr>
                <w:rFonts w:ascii="Verdana" w:hAnsi="Verdana"/>
                <w:sz w:val="19"/>
                <w:szCs w:val="19"/>
              </w:rPr>
              <w:t>notion</w:t>
            </w:r>
            <w:r w:rsidR="0019112E" w:rsidRPr="00C927E7">
              <w:rPr>
                <w:rFonts w:ascii="Verdana" w:hAnsi="Verdana"/>
                <w:sz w:val="19"/>
                <w:szCs w:val="19"/>
              </w:rPr>
              <w:t xml:space="preserve"> : </w:t>
            </w:r>
            <w:r w:rsidR="00FE399B" w:rsidRPr="00C927E7">
              <w:rPr>
                <w:rFonts w:ascii="Verdana" w:hAnsi="Verdana"/>
                <w:sz w:val="19"/>
                <w:szCs w:val="19"/>
              </w:rPr>
              <w:t xml:space="preserve">nationalité), s'il est marié </w:t>
            </w:r>
            <w:r w:rsidR="001857D3" w:rsidRPr="00C927E7">
              <w:rPr>
                <w:rFonts w:ascii="Verdana" w:hAnsi="Verdana"/>
                <w:sz w:val="19"/>
                <w:szCs w:val="19"/>
              </w:rPr>
              <w:t xml:space="preserve">et s’il a des enfants </w:t>
            </w:r>
            <w:r w:rsidR="00FE399B" w:rsidRPr="00C927E7">
              <w:rPr>
                <w:rFonts w:ascii="Verdana" w:hAnsi="Verdana"/>
                <w:sz w:val="19"/>
                <w:szCs w:val="19"/>
              </w:rPr>
              <w:t>(</w:t>
            </w:r>
            <w:r w:rsidR="0019112E" w:rsidRPr="00C927E7">
              <w:rPr>
                <w:rFonts w:ascii="Verdana" w:hAnsi="Verdana"/>
                <w:sz w:val="19"/>
                <w:szCs w:val="19"/>
              </w:rPr>
              <w:t>notion</w:t>
            </w:r>
            <w:r w:rsidR="001857D3" w:rsidRPr="00C927E7">
              <w:rPr>
                <w:rFonts w:ascii="Verdana" w:hAnsi="Verdana"/>
                <w:sz w:val="19"/>
                <w:szCs w:val="19"/>
              </w:rPr>
              <w:t xml:space="preserve"> </w:t>
            </w:r>
            <w:r w:rsidR="0019112E" w:rsidRPr="00C927E7">
              <w:rPr>
                <w:rFonts w:ascii="Verdana" w:hAnsi="Verdana"/>
                <w:sz w:val="19"/>
                <w:szCs w:val="19"/>
              </w:rPr>
              <w:t xml:space="preserve">: </w:t>
            </w:r>
            <w:r w:rsidR="00FE399B" w:rsidRPr="00C927E7">
              <w:rPr>
                <w:rFonts w:ascii="Verdana" w:hAnsi="Verdana"/>
                <w:sz w:val="19"/>
                <w:szCs w:val="19"/>
              </w:rPr>
              <w:t>situation familiale)</w:t>
            </w:r>
          </w:p>
        </w:tc>
      </w:tr>
      <w:tr w:rsidR="00FE399B" w:rsidRPr="001E5D45" w14:paraId="043AACA1" w14:textId="77777777" w:rsidTr="00DF6447">
        <w:trPr>
          <w:trHeight w:val="560"/>
        </w:trPr>
        <w:tc>
          <w:tcPr>
            <w:tcW w:w="1809" w:type="dxa"/>
          </w:tcPr>
          <w:p w14:paraId="7317C8C9" w14:textId="77777777" w:rsidR="00FE399B" w:rsidRPr="001E5D45" w:rsidRDefault="00872132" w:rsidP="008D2BB9">
            <w:pPr>
              <w:rPr>
                <w:rFonts w:ascii="Verdana" w:hAnsi="Verdana"/>
                <w:sz w:val="20"/>
                <w:szCs w:val="20"/>
              </w:rPr>
            </w:pPr>
            <w:r>
              <w:rPr>
                <w:rFonts w:ascii="Verdana" w:hAnsi="Verdana"/>
                <w:b/>
                <w:sz w:val="20"/>
                <w:szCs w:val="20"/>
              </w:rPr>
              <w:t>(3)</w:t>
            </w:r>
            <w:r w:rsidR="0016347D" w:rsidRPr="001E5D45">
              <w:rPr>
                <w:rFonts w:ascii="Verdana" w:hAnsi="Verdana"/>
                <w:sz w:val="20"/>
                <w:szCs w:val="20"/>
              </w:rPr>
              <w:t xml:space="preserve"> </w:t>
            </w:r>
            <w:r w:rsidR="00FE399B" w:rsidRPr="001E5D45">
              <w:rPr>
                <w:rFonts w:ascii="Verdana" w:hAnsi="Verdana"/>
                <w:sz w:val="20"/>
                <w:szCs w:val="20"/>
              </w:rPr>
              <w:t>« activité langagière »</w:t>
            </w:r>
          </w:p>
        </w:tc>
        <w:tc>
          <w:tcPr>
            <w:tcW w:w="7969" w:type="dxa"/>
          </w:tcPr>
          <w:p w14:paraId="727EC439" w14:textId="77777777" w:rsidR="00FE399B" w:rsidRPr="00C927E7" w:rsidRDefault="001857D3" w:rsidP="00872132">
            <w:pPr>
              <w:spacing w:after="60"/>
              <w:jc w:val="both"/>
              <w:rPr>
                <w:rFonts w:ascii="Verdana" w:hAnsi="Verdana"/>
                <w:sz w:val="19"/>
                <w:szCs w:val="19"/>
              </w:rPr>
            </w:pPr>
            <w:r w:rsidRPr="00C927E7">
              <w:rPr>
                <w:rFonts w:ascii="Verdana" w:hAnsi="Verdana"/>
                <w:sz w:val="19"/>
                <w:szCs w:val="19"/>
              </w:rPr>
              <w:t>compréhension</w:t>
            </w:r>
            <w:r w:rsidR="00FE399B" w:rsidRPr="00C927E7">
              <w:rPr>
                <w:rFonts w:ascii="Verdana" w:hAnsi="Verdana"/>
                <w:sz w:val="19"/>
                <w:szCs w:val="19"/>
              </w:rPr>
              <w:t xml:space="preserve"> de l'oral</w:t>
            </w:r>
            <w:r w:rsidR="005A5AC0" w:rsidRPr="00C927E7">
              <w:rPr>
                <w:rFonts w:ascii="Verdana" w:hAnsi="Verdana"/>
                <w:sz w:val="19"/>
                <w:szCs w:val="19"/>
              </w:rPr>
              <w:t>, compréhension de l'écrit, expression</w:t>
            </w:r>
            <w:r w:rsidR="00FE399B" w:rsidRPr="00C927E7">
              <w:rPr>
                <w:rFonts w:ascii="Verdana" w:hAnsi="Verdana"/>
                <w:sz w:val="19"/>
                <w:szCs w:val="19"/>
              </w:rPr>
              <w:t xml:space="preserve"> orale</w:t>
            </w:r>
            <w:r w:rsidR="005A5AC0" w:rsidRPr="00C927E7">
              <w:rPr>
                <w:rFonts w:ascii="Verdana" w:hAnsi="Verdana"/>
                <w:sz w:val="19"/>
                <w:szCs w:val="19"/>
              </w:rPr>
              <w:t xml:space="preserve">, expression </w:t>
            </w:r>
            <w:r w:rsidR="00FE399B" w:rsidRPr="00C927E7">
              <w:rPr>
                <w:rFonts w:ascii="Verdana" w:hAnsi="Verdana"/>
                <w:sz w:val="19"/>
                <w:szCs w:val="19"/>
              </w:rPr>
              <w:t>écrite, interaction, médiation</w:t>
            </w:r>
          </w:p>
        </w:tc>
      </w:tr>
      <w:tr w:rsidR="005A5AC0" w:rsidRPr="001E5D45" w14:paraId="50971336" w14:textId="77777777" w:rsidTr="00DF6447">
        <w:trPr>
          <w:trHeight w:val="758"/>
        </w:trPr>
        <w:tc>
          <w:tcPr>
            <w:tcW w:w="1809" w:type="dxa"/>
          </w:tcPr>
          <w:p w14:paraId="59FD61F2" w14:textId="77777777" w:rsidR="005A5AC0" w:rsidRPr="001E5D45" w:rsidRDefault="00872132" w:rsidP="008D2BB9">
            <w:pPr>
              <w:rPr>
                <w:rFonts w:ascii="Verdana" w:hAnsi="Verdana"/>
                <w:sz w:val="20"/>
                <w:szCs w:val="20"/>
              </w:rPr>
            </w:pPr>
            <w:r>
              <w:rPr>
                <w:rFonts w:ascii="Verdana" w:hAnsi="Verdana"/>
                <w:b/>
                <w:sz w:val="20"/>
                <w:szCs w:val="20"/>
              </w:rPr>
              <w:t>(4)</w:t>
            </w:r>
            <w:r w:rsidR="005A5AC0" w:rsidRPr="001E5D45">
              <w:rPr>
                <w:rFonts w:ascii="Verdana" w:hAnsi="Verdana"/>
                <w:sz w:val="20"/>
                <w:szCs w:val="20"/>
              </w:rPr>
              <w:t xml:space="preserve"> « </w:t>
            </w:r>
            <w:r w:rsidR="005A5AC0">
              <w:rPr>
                <w:rFonts w:ascii="Verdana" w:hAnsi="Verdana"/>
                <w:sz w:val="20"/>
                <w:szCs w:val="20"/>
              </w:rPr>
              <w:t>tâche » (</w:t>
            </w:r>
            <w:r w:rsidR="005A5AC0" w:rsidRPr="001E5D45">
              <w:rPr>
                <w:rFonts w:ascii="Verdana" w:hAnsi="Verdana"/>
                <w:sz w:val="20"/>
                <w:szCs w:val="20"/>
              </w:rPr>
              <w:t>langagière</w:t>
            </w:r>
            <w:r w:rsidR="00CA5C88">
              <w:rPr>
                <w:rFonts w:ascii="Verdana" w:hAnsi="Verdana"/>
                <w:sz w:val="20"/>
                <w:szCs w:val="20"/>
              </w:rPr>
              <w:t xml:space="preserve"> ou non langagiè</w:t>
            </w:r>
            <w:r w:rsidR="0051026A">
              <w:rPr>
                <w:rFonts w:ascii="Verdana" w:hAnsi="Verdana"/>
                <w:sz w:val="20"/>
                <w:szCs w:val="20"/>
              </w:rPr>
              <w:t>r</w:t>
            </w:r>
            <w:r w:rsidR="005A5AC0">
              <w:rPr>
                <w:rFonts w:ascii="Verdana" w:hAnsi="Verdana"/>
                <w:sz w:val="20"/>
                <w:szCs w:val="20"/>
              </w:rPr>
              <w:t>e)</w:t>
            </w:r>
          </w:p>
        </w:tc>
        <w:tc>
          <w:tcPr>
            <w:tcW w:w="7969" w:type="dxa"/>
          </w:tcPr>
          <w:p w14:paraId="68A3695D" w14:textId="77777777" w:rsidR="009E3125" w:rsidRPr="00C927E7" w:rsidRDefault="005A5AC0" w:rsidP="00872132">
            <w:pPr>
              <w:spacing w:after="60"/>
              <w:jc w:val="both"/>
              <w:rPr>
                <w:rFonts w:ascii="Verdana" w:hAnsi="Verdana"/>
                <w:sz w:val="19"/>
                <w:szCs w:val="19"/>
              </w:rPr>
            </w:pPr>
            <w:r w:rsidRPr="00C927E7">
              <w:rPr>
                <w:rFonts w:ascii="Verdana" w:hAnsi="Verdana"/>
                <w:sz w:val="19"/>
                <w:szCs w:val="19"/>
              </w:rPr>
              <w:t xml:space="preserve">Je reprends </w:t>
            </w:r>
            <w:r w:rsidR="00872132" w:rsidRPr="00C927E7">
              <w:rPr>
                <w:rFonts w:ascii="Verdana" w:hAnsi="Verdana"/>
                <w:sz w:val="19"/>
                <w:szCs w:val="19"/>
              </w:rPr>
              <w:t xml:space="preserve">ici </w:t>
            </w:r>
            <w:r w:rsidR="00A7280F" w:rsidRPr="00C927E7">
              <w:rPr>
                <w:rFonts w:ascii="Verdana" w:hAnsi="Verdana"/>
                <w:sz w:val="19"/>
                <w:szCs w:val="19"/>
              </w:rPr>
              <w:t>la notion</w:t>
            </w:r>
            <w:r w:rsidRPr="00C927E7">
              <w:rPr>
                <w:rFonts w:ascii="Verdana" w:hAnsi="Verdana"/>
                <w:sz w:val="19"/>
                <w:szCs w:val="19"/>
              </w:rPr>
              <w:t xml:space="preserve"> de </w:t>
            </w:r>
            <w:r w:rsidR="00A7280F" w:rsidRPr="00C927E7">
              <w:rPr>
                <w:rFonts w:ascii="Verdana" w:hAnsi="Verdana"/>
                <w:sz w:val="19"/>
                <w:szCs w:val="19"/>
              </w:rPr>
              <w:t>« tâche » telle que la</w:t>
            </w:r>
            <w:r w:rsidRPr="00C927E7">
              <w:rPr>
                <w:rFonts w:ascii="Verdana" w:hAnsi="Verdana"/>
                <w:sz w:val="19"/>
                <w:szCs w:val="19"/>
              </w:rPr>
              <w:t xml:space="preserve"> définissent les auteurs du </w:t>
            </w:r>
            <w:r w:rsidRPr="00C927E7">
              <w:rPr>
                <w:rFonts w:ascii="Verdana" w:hAnsi="Verdana"/>
                <w:i/>
                <w:sz w:val="19"/>
                <w:szCs w:val="19"/>
              </w:rPr>
              <w:t>CECRL </w:t>
            </w:r>
            <w:r w:rsidRPr="00C927E7">
              <w:rPr>
                <w:rFonts w:ascii="Verdana" w:hAnsi="Verdana"/>
                <w:sz w:val="19"/>
                <w:szCs w:val="19"/>
              </w:rPr>
              <w:t xml:space="preserve">: « Est définie comme tâche toute visée actionnelle que l’acteur se représente comme devant parvenir à un résultat donné en fonction d’un problème à résoudre, d’une obligation à remplir, d’un but qu’on s’est fixé (édition Didier 2001, p. 16), </w:t>
            </w:r>
            <w:r w:rsidR="00872132" w:rsidRPr="00C927E7">
              <w:rPr>
                <w:rFonts w:ascii="Verdana" w:hAnsi="Verdana"/>
                <w:sz w:val="19"/>
                <w:szCs w:val="19"/>
              </w:rPr>
              <w:t>tâche qui</w:t>
            </w:r>
            <w:r w:rsidRPr="00C927E7">
              <w:rPr>
                <w:rFonts w:ascii="Verdana" w:hAnsi="Verdana"/>
                <w:sz w:val="19"/>
                <w:szCs w:val="19"/>
              </w:rPr>
              <w:t xml:space="preserve"> « passera ou non par une activité langagière » (</w:t>
            </w:r>
            <w:r w:rsidRPr="00C927E7">
              <w:rPr>
                <w:rFonts w:ascii="Verdana" w:hAnsi="Verdana"/>
                <w:i/>
                <w:sz w:val="19"/>
                <w:szCs w:val="19"/>
              </w:rPr>
              <w:t>id.</w:t>
            </w:r>
            <w:r w:rsidRPr="00C927E7">
              <w:rPr>
                <w:rFonts w:ascii="Verdana" w:hAnsi="Verdana"/>
                <w:sz w:val="19"/>
                <w:szCs w:val="19"/>
              </w:rPr>
              <w:t xml:space="preserve"> p. 19).</w:t>
            </w:r>
            <w:r w:rsidR="00017680" w:rsidRPr="00C927E7">
              <w:rPr>
                <w:rFonts w:ascii="Verdana" w:hAnsi="Verdana"/>
                <w:sz w:val="19"/>
                <w:szCs w:val="19"/>
              </w:rPr>
              <w:t xml:space="preserve"> </w:t>
            </w:r>
            <w:r w:rsidR="00BC22FF" w:rsidRPr="00C927E7">
              <w:rPr>
                <w:rFonts w:ascii="Verdana" w:hAnsi="Verdana"/>
                <w:sz w:val="19"/>
                <w:szCs w:val="19"/>
              </w:rPr>
              <w:t xml:space="preserve">Mais </w:t>
            </w:r>
            <w:r w:rsidR="00872132" w:rsidRPr="00C927E7">
              <w:rPr>
                <w:rFonts w:ascii="Verdana" w:hAnsi="Verdana"/>
                <w:sz w:val="19"/>
                <w:szCs w:val="19"/>
              </w:rPr>
              <w:t xml:space="preserve">en en précisant le sens, </w:t>
            </w:r>
            <w:r w:rsidR="0051026A" w:rsidRPr="00C927E7">
              <w:rPr>
                <w:rFonts w:ascii="Verdana" w:hAnsi="Verdana"/>
                <w:sz w:val="19"/>
                <w:szCs w:val="19"/>
              </w:rPr>
              <w:t xml:space="preserve">celui </w:t>
            </w:r>
            <w:r w:rsidR="00EB24DC" w:rsidRPr="00C927E7">
              <w:rPr>
                <w:rFonts w:ascii="Verdana" w:hAnsi="Verdana"/>
                <w:sz w:val="19"/>
                <w:szCs w:val="19"/>
              </w:rPr>
              <w:t xml:space="preserve">d’une activité réalisée </w:t>
            </w:r>
            <w:r w:rsidR="00BC22FF" w:rsidRPr="00C927E7">
              <w:rPr>
                <w:rFonts w:ascii="Verdana" w:hAnsi="Verdana"/>
                <w:sz w:val="19"/>
                <w:szCs w:val="19"/>
              </w:rPr>
              <w:t xml:space="preserve">en tant que </w:t>
            </w:r>
            <w:r w:rsidRPr="00C927E7">
              <w:rPr>
                <w:rFonts w:ascii="Verdana" w:hAnsi="Verdana"/>
                <w:sz w:val="19"/>
                <w:szCs w:val="19"/>
              </w:rPr>
              <w:t>moyen au service d</w:t>
            </w:r>
            <w:r w:rsidR="00BC22FF" w:rsidRPr="00C927E7">
              <w:rPr>
                <w:rFonts w:ascii="Verdana" w:hAnsi="Verdana"/>
                <w:sz w:val="19"/>
                <w:szCs w:val="19"/>
              </w:rPr>
              <w:t xml:space="preserve">’une </w:t>
            </w:r>
            <w:r w:rsidRPr="00C927E7">
              <w:rPr>
                <w:rFonts w:ascii="Verdana" w:hAnsi="Verdana"/>
                <w:sz w:val="19"/>
                <w:szCs w:val="19"/>
              </w:rPr>
              <w:t>action sociale</w:t>
            </w:r>
            <w:r w:rsidR="00BC22FF" w:rsidRPr="00C927E7">
              <w:rPr>
                <w:rFonts w:ascii="Verdana" w:hAnsi="Verdana"/>
                <w:sz w:val="19"/>
                <w:szCs w:val="19"/>
              </w:rPr>
              <w:t xml:space="preserve">, </w:t>
            </w:r>
            <w:r w:rsidR="00BC22FF" w:rsidRPr="00C927E7">
              <w:rPr>
                <w:rFonts w:ascii="Verdana" w:hAnsi="Verdana"/>
                <w:i/>
                <w:sz w:val="19"/>
                <w:szCs w:val="19"/>
              </w:rPr>
              <w:t>avec une visée d’action sociale</w:t>
            </w:r>
            <w:r w:rsidR="0051026A" w:rsidRPr="00C927E7">
              <w:rPr>
                <w:rFonts w:ascii="Verdana" w:hAnsi="Verdana"/>
                <w:sz w:val="19"/>
                <w:szCs w:val="19"/>
              </w:rPr>
              <w:t xml:space="preserve">. </w:t>
            </w:r>
            <w:r w:rsidR="00BC22FF" w:rsidRPr="00C927E7">
              <w:rPr>
                <w:rFonts w:ascii="Verdana" w:hAnsi="Verdana"/>
                <w:sz w:val="19"/>
                <w:szCs w:val="19"/>
              </w:rPr>
              <w:t xml:space="preserve">C’est d’ailleurs en ce sens que l’on doit interpréter, me semble-t-il l’expression </w:t>
            </w:r>
            <w:r w:rsidR="0051026A" w:rsidRPr="00C927E7">
              <w:rPr>
                <w:rFonts w:ascii="Verdana" w:hAnsi="Verdana"/>
                <w:sz w:val="19"/>
                <w:szCs w:val="19"/>
              </w:rPr>
              <w:t xml:space="preserve">du </w:t>
            </w:r>
            <w:r w:rsidR="0051026A" w:rsidRPr="00C927E7">
              <w:rPr>
                <w:rFonts w:ascii="Verdana" w:hAnsi="Verdana"/>
                <w:i/>
                <w:sz w:val="19"/>
                <w:szCs w:val="19"/>
              </w:rPr>
              <w:t>Cadre</w:t>
            </w:r>
            <w:r w:rsidR="0051026A" w:rsidRPr="00C927E7">
              <w:rPr>
                <w:rFonts w:ascii="Verdana" w:hAnsi="Verdana"/>
                <w:sz w:val="19"/>
                <w:szCs w:val="19"/>
              </w:rPr>
              <w:t xml:space="preserve"> : </w:t>
            </w:r>
            <w:r w:rsidR="007931F9" w:rsidRPr="00C927E7">
              <w:rPr>
                <w:rFonts w:ascii="Verdana" w:hAnsi="Verdana"/>
                <w:sz w:val="19"/>
                <w:szCs w:val="19"/>
              </w:rPr>
              <w:t xml:space="preserve">en stricte logique, en effet, </w:t>
            </w:r>
            <w:r w:rsidR="0051026A" w:rsidRPr="00C927E7">
              <w:rPr>
                <w:rFonts w:ascii="Verdana" w:hAnsi="Verdana"/>
                <w:sz w:val="19"/>
                <w:szCs w:val="19"/>
              </w:rPr>
              <w:t xml:space="preserve">une tâche ne peut </w:t>
            </w:r>
            <w:r w:rsidR="0051026A" w:rsidRPr="00C927E7">
              <w:rPr>
                <w:rFonts w:ascii="Verdana" w:hAnsi="Verdana"/>
                <w:i/>
                <w:sz w:val="19"/>
                <w:szCs w:val="19"/>
              </w:rPr>
              <w:t>être</w:t>
            </w:r>
            <w:r w:rsidR="0051026A" w:rsidRPr="00C927E7">
              <w:rPr>
                <w:rFonts w:ascii="Verdana" w:hAnsi="Verdana"/>
                <w:sz w:val="19"/>
                <w:szCs w:val="19"/>
              </w:rPr>
              <w:t xml:space="preserve"> une visée, elle ne peut qu’</w:t>
            </w:r>
            <w:r w:rsidR="0051026A" w:rsidRPr="00C927E7">
              <w:rPr>
                <w:rFonts w:ascii="Verdana" w:hAnsi="Verdana"/>
                <w:i/>
                <w:sz w:val="19"/>
                <w:szCs w:val="19"/>
              </w:rPr>
              <w:t>avoir</w:t>
            </w:r>
            <w:r w:rsidR="0051026A" w:rsidRPr="00C927E7">
              <w:rPr>
                <w:rFonts w:ascii="Verdana" w:hAnsi="Verdana"/>
                <w:sz w:val="19"/>
                <w:szCs w:val="19"/>
              </w:rPr>
              <w:t xml:space="preserve"> </w:t>
            </w:r>
            <w:r w:rsidR="007931F9" w:rsidRPr="00C927E7">
              <w:rPr>
                <w:rFonts w:ascii="Verdana" w:hAnsi="Verdana"/>
                <w:sz w:val="19"/>
                <w:szCs w:val="19"/>
              </w:rPr>
              <w:t xml:space="preserve">une visée, </w:t>
            </w:r>
            <w:r w:rsidR="0051026A" w:rsidRPr="00C927E7">
              <w:rPr>
                <w:rFonts w:ascii="Verdana" w:hAnsi="Verdana"/>
                <w:sz w:val="19"/>
                <w:szCs w:val="19"/>
              </w:rPr>
              <w:t xml:space="preserve">et </w:t>
            </w:r>
            <w:r w:rsidR="00BC22FF" w:rsidRPr="00C927E7">
              <w:rPr>
                <w:rFonts w:ascii="Verdana" w:hAnsi="Verdana"/>
                <w:sz w:val="19"/>
                <w:szCs w:val="19"/>
              </w:rPr>
              <w:t xml:space="preserve">si l’on veut éviter que la définition </w:t>
            </w:r>
            <w:r w:rsidR="007931F9" w:rsidRPr="00C927E7">
              <w:rPr>
                <w:rFonts w:ascii="Verdana" w:hAnsi="Verdana"/>
                <w:sz w:val="19"/>
                <w:szCs w:val="19"/>
              </w:rPr>
              <w:t xml:space="preserve">du </w:t>
            </w:r>
            <w:r w:rsidR="007931F9" w:rsidRPr="00C927E7">
              <w:rPr>
                <w:rFonts w:ascii="Verdana" w:hAnsi="Verdana"/>
                <w:i/>
                <w:sz w:val="19"/>
                <w:szCs w:val="19"/>
              </w:rPr>
              <w:t>Cadre</w:t>
            </w:r>
            <w:r w:rsidR="007931F9" w:rsidRPr="00C927E7">
              <w:rPr>
                <w:rFonts w:ascii="Verdana" w:hAnsi="Verdana"/>
                <w:sz w:val="19"/>
                <w:szCs w:val="19"/>
              </w:rPr>
              <w:t xml:space="preserve"> </w:t>
            </w:r>
            <w:r w:rsidR="00BC22FF" w:rsidRPr="00C927E7">
              <w:rPr>
                <w:rFonts w:ascii="Verdana" w:hAnsi="Verdana"/>
                <w:sz w:val="19"/>
                <w:szCs w:val="19"/>
              </w:rPr>
              <w:t xml:space="preserve">ne soit </w:t>
            </w:r>
            <w:r w:rsidR="0051026A" w:rsidRPr="00C927E7">
              <w:rPr>
                <w:rFonts w:ascii="Verdana" w:hAnsi="Verdana"/>
                <w:sz w:val="19"/>
                <w:szCs w:val="19"/>
              </w:rPr>
              <w:t xml:space="preserve">parfaitement </w:t>
            </w:r>
            <w:r w:rsidR="00BC22FF" w:rsidRPr="00C927E7">
              <w:rPr>
                <w:rFonts w:ascii="Verdana" w:hAnsi="Verdana"/>
                <w:sz w:val="19"/>
                <w:szCs w:val="19"/>
              </w:rPr>
              <w:t>circulaire</w:t>
            </w:r>
            <w:r w:rsidR="0051026A" w:rsidRPr="00C927E7">
              <w:rPr>
                <w:rFonts w:ascii="Verdana" w:hAnsi="Verdana"/>
                <w:sz w:val="19"/>
                <w:szCs w:val="19"/>
              </w:rPr>
              <w:t xml:space="preserve"> (</w:t>
            </w:r>
            <w:r w:rsidR="007931F9" w:rsidRPr="00C927E7">
              <w:rPr>
                <w:rFonts w:ascii="Verdana" w:hAnsi="Verdana"/>
                <w:sz w:val="19"/>
                <w:szCs w:val="19"/>
              </w:rPr>
              <w:t>on fait quelque chose</w:t>
            </w:r>
            <w:r w:rsidR="00BC22FF" w:rsidRPr="00C927E7">
              <w:rPr>
                <w:rFonts w:ascii="Verdana" w:hAnsi="Verdana"/>
                <w:sz w:val="19"/>
                <w:szCs w:val="19"/>
              </w:rPr>
              <w:t xml:space="preserve"> quand on veut faire quelque chose…</w:t>
            </w:r>
            <w:r w:rsidR="0051026A" w:rsidRPr="00C927E7">
              <w:rPr>
                <w:rFonts w:ascii="Verdana" w:hAnsi="Verdana"/>
                <w:sz w:val="19"/>
                <w:szCs w:val="19"/>
              </w:rPr>
              <w:t xml:space="preserve">), il faut donner à </w:t>
            </w:r>
            <w:r w:rsidR="007931F9" w:rsidRPr="00C927E7">
              <w:rPr>
                <w:rFonts w:ascii="Verdana" w:hAnsi="Verdana"/>
                <w:sz w:val="19"/>
                <w:szCs w:val="19"/>
              </w:rPr>
              <w:t>l’ « </w:t>
            </w:r>
            <w:r w:rsidR="0051026A" w:rsidRPr="00C927E7">
              <w:rPr>
                <w:rFonts w:ascii="Verdana" w:hAnsi="Verdana"/>
                <w:sz w:val="19"/>
                <w:szCs w:val="19"/>
              </w:rPr>
              <w:t>action</w:t>
            </w:r>
            <w:r w:rsidR="007931F9" w:rsidRPr="00C927E7">
              <w:rPr>
                <w:rFonts w:ascii="Verdana" w:hAnsi="Verdana"/>
                <w:sz w:val="19"/>
                <w:szCs w:val="19"/>
              </w:rPr>
              <w:t> »</w:t>
            </w:r>
            <w:r w:rsidR="00A7280F" w:rsidRPr="00C927E7">
              <w:rPr>
                <w:rFonts w:ascii="Verdana" w:hAnsi="Verdana"/>
                <w:sz w:val="19"/>
                <w:szCs w:val="19"/>
              </w:rPr>
              <w:t xml:space="preserve"> la dimension sociale qu’elle a </w:t>
            </w:r>
            <w:r w:rsidR="009E3125" w:rsidRPr="00C927E7">
              <w:rPr>
                <w:rFonts w:ascii="Verdana" w:hAnsi="Verdana"/>
                <w:sz w:val="19"/>
                <w:szCs w:val="19"/>
              </w:rPr>
              <w:t>d’ailleurs à de multiples reprises dans ce document.</w:t>
            </w:r>
            <w:r w:rsidR="009E3125" w:rsidRPr="00C927E7">
              <w:rPr>
                <w:rStyle w:val="Appelnotedebasdep"/>
                <w:rFonts w:ascii="Verdana" w:hAnsi="Verdana"/>
                <w:sz w:val="19"/>
                <w:szCs w:val="19"/>
              </w:rPr>
              <w:footnoteReference w:id="4"/>
            </w:r>
          </w:p>
          <w:p w14:paraId="600DF691" w14:textId="77777777" w:rsidR="005A5AC0" w:rsidRPr="00C927E7" w:rsidRDefault="00E84447" w:rsidP="00872132">
            <w:pPr>
              <w:spacing w:after="60"/>
              <w:jc w:val="both"/>
              <w:rPr>
                <w:rFonts w:ascii="Verdana" w:hAnsi="Verdana"/>
                <w:sz w:val="19"/>
                <w:szCs w:val="19"/>
              </w:rPr>
            </w:pPr>
            <w:r w:rsidRPr="00C927E7">
              <w:rPr>
                <w:rFonts w:ascii="Verdana" w:hAnsi="Verdana"/>
                <w:sz w:val="19"/>
                <w:szCs w:val="19"/>
              </w:rPr>
              <w:t>E</w:t>
            </w:r>
            <w:r w:rsidR="00BC22FF" w:rsidRPr="00C927E7">
              <w:rPr>
                <w:rFonts w:ascii="Verdana" w:hAnsi="Verdana"/>
                <w:sz w:val="19"/>
                <w:szCs w:val="19"/>
              </w:rPr>
              <w:t xml:space="preserve">xemple : pour </w:t>
            </w:r>
            <w:r w:rsidR="005A5AC0" w:rsidRPr="00C927E7">
              <w:rPr>
                <w:rFonts w:ascii="Verdana" w:hAnsi="Verdana"/>
                <w:sz w:val="19"/>
                <w:szCs w:val="19"/>
              </w:rPr>
              <w:t>faire un voyage (action sociale), on va acheter un billet sur Int</w:t>
            </w:r>
            <w:r w:rsidRPr="00C927E7">
              <w:rPr>
                <w:rFonts w:ascii="Verdana" w:hAnsi="Verdana"/>
                <w:sz w:val="19"/>
                <w:szCs w:val="19"/>
              </w:rPr>
              <w:t>ernet (tâche</w:t>
            </w:r>
            <w:r w:rsidR="005A5AC0" w:rsidRPr="00C927E7">
              <w:rPr>
                <w:rFonts w:ascii="Verdana" w:hAnsi="Verdana"/>
                <w:sz w:val="19"/>
                <w:szCs w:val="19"/>
              </w:rPr>
              <w:t>).</w:t>
            </w:r>
          </w:p>
          <w:p w14:paraId="12B8F417" w14:textId="77777777" w:rsidR="00CA5C88" w:rsidRPr="00C927E7" w:rsidRDefault="005A5AC0" w:rsidP="00872132">
            <w:pPr>
              <w:spacing w:after="60"/>
              <w:jc w:val="both"/>
              <w:rPr>
                <w:rFonts w:ascii="Verdana" w:hAnsi="Verdana"/>
                <w:sz w:val="19"/>
                <w:szCs w:val="19"/>
              </w:rPr>
            </w:pPr>
            <w:r w:rsidRPr="00C927E7">
              <w:rPr>
                <w:rFonts w:ascii="Verdana" w:hAnsi="Verdana"/>
                <w:sz w:val="19"/>
                <w:szCs w:val="19"/>
              </w:rPr>
              <w:t>La frontière entre tâche</w:t>
            </w:r>
            <w:r w:rsidR="00EB24DC" w:rsidRPr="00C927E7">
              <w:rPr>
                <w:rFonts w:ascii="Verdana" w:hAnsi="Verdana"/>
                <w:sz w:val="19"/>
                <w:szCs w:val="19"/>
              </w:rPr>
              <w:t>s</w:t>
            </w:r>
            <w:r w:rsidRPr="00C927E7">
              <w:rPr>
                <w:rFonts w:ascii="Verdana" w:hAnsi="Verdana"/>
                <w:sz w:val="19"/>
                <w:szCs w:val="19"/>
              </w:rPr>
              <w:t xml:space="preserve"> et action</w:t>
            </w:r>
            <w:r w:rsidR="00EB24DC" w:rsidRPr="00C927E7">
              <w:rPr>
                <w:rFonts w:ascii="Verdana" w:hAnsi="Verdana"/>
                <w:sz w:val="19"/>
                <w:szCs w:val="19"/>
              </w:rPr>
              <w:t>s</w:t>
            </w:r>
            <w:r w:rsidRPr="00C927E7">
              <w:rPr>
                <w:rFonts w:ascii="Verdana" w:hAnsi="Verdana"/>
                <w:sz w:val="19"/>
                <w:szCs w:val="19"/>
              </w:rPr>
              <w:t xml:space="preserve"> sociale</w:t>
            </w:r>
            <w:r w:rsidR="00EB24DC" w:rsidRPr="00C927E7">
              <w:rPr>
                <w:rFonts w:ascii="Verdana" w:hAnsi="Verdana"/>
                <w:sz w:val="19"/>
                <w:szCs w:val="19"/>
              </w:rPr>
              <w:t>s</w:t>
            </w:r>
            <w:r w:rsidRPr="00C927E7">
              <w:rPr>
                <w:rFonts w:ascii="Verdana" w:hAnsi="Verdana"/>
                <w:sz w:val="19"/>
                <w:szCs w:val="19"/>
              </w:rPr>
              <w:t xml:space="preserve"> est </w:t>
            </w:r>
            <w:r w:rsidR="00BC22FF" w:rsidRPr="00C927E7">
              <w:rPr>
                <w:rFonts w:ascii="Verdana" w:hAnsi="Verdana"/>
                <w:sz w:val="19"/>
                <w:szCs w:val="19"/>
              </w:rPr>
              <w:t>floue et fluctuante</w:t>
            </w:r>
            <w:r w:rsidR="00E61D80" w:rsidRPr="00C927E7">
              <w:rPr>
                <w:rFonts w:ascii="Verdana" w:hAnsi="Verdana"/>
                <w:sz w:val="19"/>
                <w:szCs w:val="19"/>
              </w:rPr>
              <w:t xml:space="preserve"> lorsqu’il s’agit comme ici d’usage</w:t>
            </w:r>
            <w:r w:rsidR="00BC22FF" w:rsidRPr="00C927E7">
              <w:rPr>
                <w:rFonts w:ascii="Verdana" w:hAnsi="Verdana"/>
                <w:sz w:val="19"/>
                <w:szCs w:val="19"/>
              </w:rPr>
              <w:t>, parce qu’elle</w:t>
            </w:r>
            <w:r w:rsidRPr="00C927E7">
              <w:rPr>
                <w:rFonts w:ascii="Verdana" w:hAnsi="Verdana"/>
                <w:sz w:val="19"/>
                <w:szCs w:val="19"/>
              </w:rPr>
              <w:t xml:space="preserve"> dépend de </w:t>
            </w:r>
            <w:r w:rsidR="00BC22FF" w:rsidRPr="00C927E7">
              <w:rPr>
                <w:rFonts w:ascii="Verdana" w:hAnsi="Verdana"/>
                <w:sz w:val="19"/>
                <w:szCs w:val="19"/>
              </w:rPr>
              <w:t xml:space="preserve">l’importance </w:t>
            </w:r>
            <w:r w:rsidRPr="00C927E7">
              <w:rPr>
                <w:rFonts w:ascii="Verdana" w:hAnsi="Verdana"/>
                <w:sz w:val="19"/>
                <w:szCs w:val="19"/>
              </w:rPr>
              <w:t>sociale</w:t>
            </w:r>
            <w:r w:rsidR="00EB24DC" w:rsidRPr="00C927E7">
              <w:rPr>
                <w:rFonts w:ascii="Verdana" w:hAnsi="Verdana"/>
                <w:sz w:val="19"/>
                <w:szCs w:val="19"/>
              </w:rPr>
              <w:t xml:space="preserve"> </w:t>
            </w:r>
            <w:r w:rsidR="00BC22FF" w:rsidRPr="00C927E7">
              <w:rPr>
                <w:rFonts w:ascii="Verdana" w:hAnsi="Verdana"/>
                <w:sz w:val="19"/>
                <w:szCs w:val="19"/>
              </w:rPr>
              <w:t xml:space="preserve">que l’on attribue aux </w:t>
            </w:r>
            <w:r w:rsidRPr="00C927E7">
              <w:rPr>
                <w:rFonts w:ascii="Verdana" w:hAnsi="Verdana"/>
                <w:sz w:val="19"/>
                <w:szCs w:val="19"/>
              </w:rPr>
              <w:t>activité</w:t>
            </w:r>
            <w:r w:rsidR="00EB24DC" w:rsidRPr="00C927E7">
              <w:rPr>
                <w:rFonts w:ascii="Verdana" w:hAnsi="Verdana"/>
                <w:sz w:val="19"/>
                <w:szCs w:val="19"/>
              </w:rPr>
              <w:t>s</w:t>
            </w:r>
            <w:r w:rsidRPr="00C927E7">
              <w:rPr>
                <w:rFonts w:ascii="Verdana" w:hAnsi="Verdana"/>
                <w:sz w:val="19"/>
                <w:szCs w:val="19"/>
              </w:rPr>
              <w:t xml:space="preserve"> en </w:t>
            </w:r>
            <w:r w:rsidR="00BC22FF" w:rsidRPr="00C927E7">
              <w:rPr>
                <w:rFonts w:ascii="Verdana" w:hAnsi="Verdana"/>
                <w:sz w:val="19"/>
                <w:szCs w:val="19"/>
              </w:rPr>
              <w:t>elles-mêmes</w:t>
            </w:r>
            <w:r w:rsidRPr="00C927E7">
              <w:rPr>
                <w:rFonts w:ascii="Verdana" w:hAnsi="Verdana"/>
                <w:sz w:val="19"/>
                <w:szCs w:val="19"/>
              </w:rPr>
              <w:t xml:space="preserve">, ainsi que de la hiérarchisation entre </w:t>
            </w:r>
            <w:r w:rsidR="00E61D80" w:rsidRPr="00C927E7">
              <w:rPr>
                <w:rFonts w:ascii="Verdana" w:hAnsi="Verdana"/>
                <w:sz w:val="19"/>
                <w:szCs w:val="19"/>
              </w:rPr>
              <w:t xml:space="preserve">les </w:t>
            </w:r>
            <w:r w:rsidRPr="00C927E7">
              <w:rPr>
                <w:rFonts w:ascii="Verdana" w:hAnsi="Verdana"/>
                <w:sz w:val="19"/>
                <w:szCs w:val="19"/>
              </w:rPr>
              <w:t>différentes</w:t>
            </w:r>
            <w:r w:rsidR="00CA5C88" w:rsidRPr="00C927E7">
              <w:rPr>
                <w:rFonts w:ascii="Verdana" w:hAnsi="Verdana"/>
                <w:sz w:val="19"/>
                <w:szCs w:val="19"/>
              </w:rPr>
              <w:t xml:space="preserve"> activités.</w:t>
            </w:r>
          </w:p>
          <w:p w14:paraId="5C78E0E8" w14:textId="77777777" w:rsidR="00017680" w:rsidRPr="00C927E7" w:rsidRDefault="005A5AC0" w:rsidP="00872132">
            <w:pPr>
              <w:spacing w:after="60"/>
              <w:jc w:val="both"/>
              <w:rPr>
                <w:rFonts w:ascii="Verdana" w:hAnsi="Verdana"/>
                <w:sz w:val="19"/>
                <w:szCs w:val="19"/>
              </w:rPr>
            </w:pPr>
            <w:r w:rsidRPr="00C927E7">
              <w:rPr>
                <w:rFonts w:ascii="Verdana" w:hAnsi="Verdana"/>
                <w:sz w:val="19"/>
                <w:szCs w:val="19"/>
              </w:rPr>
              <w:t>« </w:t>
            </w:r>
            <w:r w:rsidR="00E84447" w:rsidRPr="00C927E7">
              <w:rPr>
                <w:rFonts w:ascii="Verdana" w:hAnsi="Verdana"/>
                <w:sz w:val="19"/>
                <w:szCs w:val="19"/>
              </w:rPr>
              <w:t xml:space="preserve">Changer </w:t>
            </w:r>
            <w:r w:rsidR="00C927E7" w:rsidRPr="00C927E7">
              <w:rPr>
                <w:rFonts w:ascii="Verdana" w:hAnsi="Verdana"/>
                <w:sz w:val="19"/>
                <w:szCs w:val="19"/>
              </w:rPr>
              <w:t xml:space="preserve">en famille </w:t>
            </w:r>
            <w:r w:rsidR="00E84447" w:rsidRPr="00C927E7">
              <w:rPr>
                <w:rFonts w:ascii="Verdana" w:hAnsi="Verdana"/>
                <w:sz w:val="19"/>
                <w:szCs w:val="19"/>
              </w:rPr>
              <w:t>la décoration du</w:t>
            </w:r>
            <w:r w:rsidRPr="00C927E7">
              <w:rPr>
                <w:rFonts w:ascii="Verdana" w:hAnsi="Verdana"/>
                <w:sz w:val="19"/>
                <w:szCs w:val="19"/>
              </w:rPr>
              <w:t xml:space="preserve"> salon », par exemple, peut être considéré comme une action sociale par rapport à « consulter des catalogues de meubles », « acheter des pots de peinture »,</w:t>
            </w:r>
            <w:r w:rsidR="00C927E7" w:rsidRPr="00C927E7">
              <w:rPr>
                <w:rFonts w:ascii="Verdana" w:hAnsi="Verdana"/>
                <w:sz w:val="19"/>
                <w:szCs w:val="19"/>
              </w:rPr>
              <w:t xml:space="preserve"> « « acheter et installer les rideaux »,</w:t>
            </w:r>
            <w:r w:rsidRPr="00C927E7">
              <w:rPr>
                <w:rFonts w:ascii="Verdana" w:hAnsi="Verdana"/>
                <w:sz w:val="19"/>
                <w:szCs w:val="19"/>
              </w:rPr>
              <w:t xml:space="preserve"> « changer le papier peint</w:t>
            </w:r>
            <w:r w:rsidR="00017680" w:rsidRPr="00C927E7">
              <w:rPr>
                <w:rFonts w:ascii="Verdana" w:hAnsi="Verdana"/>
                <w:sz w:val="19"/>
                <w:szCs w:val="19"/>
              </w:rPr>
              <w:t> », qui sont les tâches correspondantes</w:t>
            </w:r>
            <w:r w:rsidRPr="00C927E7">
              <w:rPr>
                <w:rFonts w:ascii="Verdana" w:hAnsi="Verdana"/>
                <w:sz w:val="19"/>
                <w:szCs w:val="19"/>
              </w:rPr>
              <w:t>. Par rapport à une action sociale telle que « </w:t>
            </w:r>
            <w:r w:rsidR="00E84447" w:rsidRPr="00C927E7">
              <w:rPr>
                <w:rFonts w:ascii="Verdana" w:hAnsi="Verdana"/>
                <w:sz w:val="19"/>
                <w:szCs w:val="19"/>
              </w:rPr>
              <w:t>s’installer avec sa famille dans son nouvel appartement </w:t>
            </w:r>
            <w:r w:rsidR="00017680" w:rsidRPr="00C927E7">
              <w:rPr>
                <w:rFonts w:ascii="Verdana" w:hAnsi="Verdana"/>
                <w:sz w:val="19"/>
                <w:szCs w:val="19"/>
              </w:rPr>
              <w:t>», par contre, « </w:t>
            </w:r>
            <w:r w:rsidR="00E84447" w:rsidRPr="00C927E7">
              <w:rPr>
                <w:rFonts w:ascii="Verdana" w:hAnsi="Verdana"/>
                <w:sz w:val="19"/>
                <w:szCs w:val="19"/>
              </w:rPr>
              <w:t xml:space="preserve">changer la décoration du </w:t>
            </w:r>
            <w:r w:rsidR="00017680" w:rsidRPr="00C927E7">
              <w:rPr>
                <w:rFonts w:ascii="Verdana" w:hAnsi="Verdana"/>
                <w:sz w:val="19"/>
                <w:szCs w:val="19"/>
              </w:rPr>
              <w:t xml:space="preserve">salon » </w:t>
            </w:r>
            <w:r w:rsidR="00872132" w:rsidRPr="00C927E7">
              <w:rPr>
                <w:rFonts w:ascii="Verdana" w:hAnsi="Verdana"/>
                <w:sz w:val="19"/>
                <w:szCs w:val="19"/>
              </w:rPr>
              <w:t>pourra être</w:t>
            </w:r>
            <w:r w:rsidR="00017680" w:rsidRPr="00C927E7">
              <w:rPr>
                <w:rFonts w:ascii="Verdana" w:hAnsi="Verdana"/>
                <w:sz w:val="19"/>
                <w:szCs w:val="19"/>
              </w:rPr>
              <w:t xml:space="preserve"> </w:t>
            </w:r>
            <w:r w:rsidR="00A7280F" w:rsidRPr="00C927E7">
              <w:rPr>
                <w:rFonts w:ascii="Verdana" w:hAnsi="Verdana"/>
                <w:sz w:val="19"/>
                <w:szCs w:val="19"/>
              </w:rPr>
              <w:t>considéré</w:t>
            </w:r>
            <w:r w:rsidR="00017680" w:rsidRPr="00C927E7">
              <w:rPr>
                <w:rFonts w:ascii="Verdana" w:hAnsi="Verdana"/>
                <w:sz w:val="19"/>
                <w:szCs w:val="19"/>
              </w:rPr>
              <w:t xml:space="preserve"> comme une tâche.</w:t>
            </w:r>
          </w:p>
          <w:p w14:paraId="24591A38" w14:textId="77777777" w:rsidR="00EB24DC" w:rsidRPr="00C927E7" w:rsidRDefault="00017680" w:rsidP="00872132">
            <w:pPr>
              <w:spacing w:after="60"/>
              <w:jc w:val="both"/>
              <w:rPr>
                <w:rFonts w:ascii="Verdana" w:hAnsi="Verdana"/>
                <w:sz w:val="19"/>
                <w:szCs w:val="19"/>
              </w:rPr>
            </w:pPr>
            <w:r w:rsidRPr="00C927E7">
              <w:rPr>
                <w:rFonts w:ascii="Verdana" w:hAnsi="Verdana"/>
                <w:sz w:val="19"/>
                <w:szCs w:val="19"/>
              </w:rPr>
              <w:t>Autre exemple : « </w:t>
            </w:r>
            <w:r w:rsidR="00EB24DC" w:rsidRPr="00C927E7">
              <w:rPr>
                <w:rFonts w:ascii="Verdana" w:hAnsi="Verdana"/>
                <w:sz w:val="19"/>
                <w:szCs w:val="19"/>
              </w:rPr>
              <w:t>faire l</w:t>
            </w:r>
            <w:r w:rsidRPr="00C927E7">
              <w:rPr>
                <w:rFonts w:ascii="Verdana" w:hAnsi="Verdana"/>
                <w:sz w:val="19"/>
                <w:szCs w:val="19"/>
              </w:rPr>
              <w:t xml:space="preserve">es courses » peut être </w:t>
            </w:r>
            <w:r w:rsidR="00CA5C88" w:rsidRPr="00C927E7">
              <w:rPr>
                <w:rFonts w:ascii="Verdana" w:hAnsi="Verdana"/>
                <w:sz w:val="19"/>
                <w:szCs w:val="19"/>
              </w:rPr>
              <w:t xml:space="preserve">vécu comme une authentique </w:t>
            </w:r>
            <w:r w:rsidRPr="00C927E7">
              <w:rPr>
                <w:rFonts w:ascii="Verdana" w:hAnsi="Verdana"/>
                <w:sz w:val="19"/>
                <w:szCs w:val="19"/>
              </w:rPr>
              <w:t xml:space="preserve">action si </w:t>
            </w:r>
            <w:r w:rsidR="00CA5C88" w:rsidRPr="00C927E7">
              <w:rPr>
                <w:rFonts w:ascii="Verdana" w:hAnsi="Verdana"/>
                <w:sz w:val="19"/>
                <w:szCs w:val="19"/>
              </w:rPr>
              <w:t xml:space="preserve">elle correspond à un véritable rituel social de </w:t>
            </w:r>
            <w:r w:rsidRPr="00C927E7">
              <w:rPr>
                <w:rFonts w:ascii="Verdana" w:hAnsi="Verdana"/>
                <w:sz w:val="19"/>
                <w:szCs w:val="19"/>
              </w:rPr>
              <w:t>chaque samedi matin</w:t>
            </w:r>
            <w:r w:rsidR="00CA5C88" w:rsidRPr="00C927E7">
              <w:rPr>
                <w:rFonts w:ascii="Verdana" w:hAnsi="Verdana"/>
                <w:sz w:val="19"/>
                <w:szCs w:val="19"/>
              </w:rPr>
              <w:t xml:space="preserve"> : </w:t>
            </w:r>
            <w:r w:rsidRPr="00C927E7">
              <w:rPr>
                <w:rFonts w:ascii="Verdana" w:hAnsi="Verdana"/>
                <w:sz w:val="19"/>
                <w:szCs w:val="19"/>
              </w:rPr>
              <w:t xml:space="preserve">on </w:t>
            </w:r>
            <w:r w:rsidR="00CA5C88" w:rsidRPr="00C927E7">
              <w:rPr>
                <w:rFonts w:ascii="Verdana" w:hAnsi="Verdana"/>
                <w:sz w:val="19"/>
                <w:szCs w:val="19"/>
              </w:rPr>
              <w:t xml:space="preserve">la </w:t>
            </w:r>
            <w:r w:rsidRPr="00C927E7">
              <w:rPr>
                <w:rFonts w:ascii="Verdana" w:hAnsi="Verdana"/>
                <w:sz w:val="19"/>
                <w:szCs w:val="19"/>
              </w:rPr>
              <w:t>prépare toute la semaine (on note au fur et à mesure ce qui va manquer</w:t>
            </w:r>
            <w:r w:rsidR="00EB24DC" w:rsidRPr="00C927E7">
              <w:rPr>
                <w:rFonts w:ascii="Verdana" w:hAnsi="Verdana"/>
                <w:sz w:val="19"/>
                <w:szCs w:val="19"/>
              </w:rPr>
              <w:t xml:space="preserve">, </w:t>
            </w:r>
            <w:r w:rsidR="00E84447" w:rsidRPr="00C927E7">
              <w:rPr>
                <w:rFonts w:ascii="Verdana" w:hAnsi="Verdana"/>
                <w:sz w:val="19"/>
                <w:szCs w:val="19"/>
              </w:rPr>
              <w:t>on</w:t>
            </w:r>
            <w:r w:rsidR="00EB24DC" w:rsidRPr="00C927E7">
              <w:rPr>
                <w:rFonts w:ascii="Verdana" w:hAnsi="Verdana"/>
                <w:sz w:val="19"/>
                <w:szCs w:val="19"/>
              </w:rPr>
              <w:t xml:space="preserve"> s’</w:t>
            </w:r>
            <w:r w:rsidR="00E84447" w:rsidRPr="00C927E7">
              <w:rPr>
                <w:rFonts w:ascii="Verdana" w:hAnsi="Verdana"/>
                <w:sz w:val="19"/>
                <w:szCs w:val="19"/>
              </w:rPr>
              <w:t>enquier</w:t>
            </w:r>
            <w:r w:rsidR="00EB24DC" w:rsidRPr="00C927E7">
              <w:rPr>
                <w:rFonts w:ascii="Verdana" w:hAnsi="Verdana"/>
                <w:sz w:val="19"/>
                <w:szCs w:val="19"/>
              </w:rPr>
              <w:t xml:space="preserve">t des souhaits des uns et </w:t>
            </w:r>
            <w:r w:rsidR="00CA5C88" w:rsidRPr="00C927E7">
              <w:rPr>
                <w:rFonts w:ascii="Verdana" w:hAnsi="Verdana"/>
                <w:sz w:val="19"/>
                <w:szCs w:val="19"/>
              </w:rPr>
              <w:t>des</w:t>
            </w:r>
            <w:r w:rsidR="00EB24DC" w:rsidRPr="00C927E7">
              <w:rPr>
                <w:rFonts w:ascii="Verdana" w:hAnsi="Verdana"/>
                <w:sz w:val="19"/>
                <w:szCs w:val="19"/>
              </w:rPr>
              <w:t xml:space="preserve"> autres</w:t>
            </w:r>
            <w:r w:rsidR="00CA5C88" w:rsidRPr="00C927E7">
              <w:rPr>
                <w:rFonts w:ascii="Verdana" w:hAnsi="Verdana"/>
                <w:sz w:val="19"/>
                <w:szCs w:val="19"/>
              </w:rPr>
              <w:t xml:space="preserve">), </w:t>
            </w:r>
            <w:r w:rsidRPr="00C927E7">
              <w:rPr>
                <w:rFonts w:ascii="Verdana" w:hAnsi="Verdana"/>
                <w:sz w:val="19"/>
                <w:szCs w:val="19"/>
              </w:rPr>
              <w:t xml:space="preserve">on </w:t>
            </w:r>
            <w:r w:rsidR="00CA5C88" w:rsidRPr="00C927E7">
              <w:rPr>
                <w:rFonts w:ascii="Verdana" w:hAnsi="Verdana"/>
                <w:sz w:val="19"/>
                <w:szCs w:val="19"/>
              </w:rPr>
              <w:t xml:space="preserve">va au marché </w:t>
            </w:r>
            <w:r w:rsidRPr="00C927E7">
              <w:rPr>
                <w:rFonts w:ascii="Verdana" w:hAnsi="Verdana"/>
                <w:sz w:val="19"/>
                <w:szCs w:val="19"/>
              </w:rPr>
              <w:t xml:space="preserve">en famille, et </w:t>
            </w:r>
            <w:r w:rsidR="00CA5C88" w:rsidRPr="00C927E7">
              <w:rPr>
                <w:rFonts w:ascii="Verdana" w:hAnsi="Verdana"/>
                <w:sz w:val="19"/>
                <w:szCs w:val="19"/>
              </w:rPr>
              <w:t>c’</w:t>
            </w:r>
            <w:r w:rsidRPr="00C927E7">
              <w:rPr>
                <w:rFonts w:ascii="Verdana" w:hAnsi="Verdana"/>
                <w:sz w:val="19"/>
                <w:szCs w:val="19"/>
              </w:rPr>
              <w:t xml:space="preserve">est une occasion </w:t>
            </w:r>
            <w:r w:rsidR="00CA5C88" w:rsidRPr="00C927E7">
              <w:rPr>
                <w:rFonts w:ascii="Verdana" w:hAnsi="Verdana"/>
                <w:sz w:val="19"/>
                <w:szCs w:val="19"/>
              </w:rPr>
              <w:t xml:space="preserve">attendue </w:t>
            </w:r>
            <w:r w:rsidRPr="00C927E7">
              <w:rPr>
                <w:rFonts w:ascii="Verdana" w:hAnsi="Verdana"/>
                <w:sz w:val="19"/>
                <w:szCs w:val="19"/>
              </w:rPr>
              <w:t>de rencontrer</w:t>
            </w:r>
            <w:r w:rsidR="00EB24DC" w:rsidRPr="00C927E7">
              <w:rPr>
                <w:rFonts w:ascii="Verdana" w:hAnsi="Verdana"/>
                <w:sz w:val="19"/>
                <w:szCs w:val="19"/>
              </w:rPr>
              <w:t xml:space="preserve"> </w:t>
            </w:r>
            <w:r w:rsidRPr="00C927E7">
              <w:rPr>
                <w:rFonts w:ascii="Verdana" w:hAnsi="Verdana"/>
                <w:sz w:val="19"/>
                <w:szCs w:val="19"/>
              </w:rPr>
              <w:t xml:space="preserve">les mêmes connaissances et les mêmes commerçants, avec lesquels on va discuter un moment. </w:t>
            </w:r>
            <w:r w:rsidR="00EB24DC" w:rsidRPr="00C927E7">
              <w:rPr>
                <w:rFonts w:ascii="Verdana" w:hAnsi="Verdana"/>
                <w:sz w:val="19"/>
                <w:szCs w:val="19"/>
              </w:rPr>
              <w:t>Par contre</w:t>
            </w:r>
            <w:r w:rsidR="00CA5C88" w:rsidRPr="00C927E7">
              <w:rPr>
                <w:rFonts w:ascii="Verdana" w:hAnsi="Verdana"/>
                <w:sz w:val="19"/>
                <w:szCs w:val="19"/>
              </w:rPr>
              <w:t>,</w:t>
            </w:r>
            <w:r w:rsidR="00EB24DC" w:rsidRPr="00C927E7">
              <w:rPr>
                <w:rFonts w:ascii="Verdana" w:hAnsi="Verdana"/>
                <w:sz w:val="19"/>
                <w:szCs w:val="19"/>
              </w:rPr>
              <w:t xml:space="preserve"> « faire les courses » </w:t>
            </w:r>
            <w:r w:rsidR="00CA5C88" w:rsidRPr="00C927E7">
              <w:rPr>
                <w:rFonts w:ascii="Verdana" w:hAnsi="Verdana"/>
                <w:sz w:val="19"/>
                <w:szCs w:val="19"/>
              </w:rPr>
              <w:t xml:space="preserve">ne </w:t>
            </w:r>
            <w:r w:rsidR="00EB24DC" w:rsidRPr="00C927E7">
              <w:rPr>
                <w:rFonts w:ascii="Verdana" w:hAnsi="Verdana"/>
                <w:sz w:val="19"/>
                <w:szCs w:val="19"/>
              </w:rPr>
              <w:t xml:space="preserve">sera </w:t>
            </w:r>
            <w:r w:rsidR="00CA5C88" w:rsidRPr="00C927E7">
              <w:rPr>
                <w:rFonts w:ascii="Verdana" w:hAnsi="Verdana"/>
                <w:sz w:val="19"/>
                <w:szCs w:val="19"/>
              </w:rPr>
              <w:t>qu’</w:t>
            </w:r>
            <w:r w:rsidR="00EB24DC" w:rsidRPr="00C927E7">
              <w:rPr>
                <w:rFonts w:ascii="Verdana" w:hAnsi="Verdana"/>
                <w:sz w:val="19"/>
                <w:szCs w:val="19"/>
              </w:rPr>
              <w:t xml:space="preserve">une tâche s’il s’agit simplement d’aller acheter </w:t>
            </w:r>
            <w:r w:rsidR="00CA5C88" w:rsidRPr="00C927E7">
              <w:rPr>
                <w:rFonts w:ascii="Verdana" w:hAnsi="Verdana"/>
                <w:sz w:val="19"/>
                <w:szCs w:val="19"/>
              </w:rPr>
              <w:t xml:space="preserve">rapidement dans un supermarché </w:t>
            </w:r>
            <w:r w:rsidR="00EB24DC" w:rsidRPr="00C927E7">
              <w:rPr>
                <w:rFonts w:ascii="Verdana" w:hAnsi="Verdana"/>
                <w:sz w:val="19"/>
                <w:szCs w:val="19"/>
              </w:rPr>
              <w:t xml:space="preserve">les produits nécessaires pour </w:t>
            </w:r>
            <w:r w:rsidRPr="00C927E7">
              <w:rPr>
                <w:rFonts w:ascii="Verdana" w:hAnsi="Verdana"/>
                <w:sz w:val="19"/>
                <w:szCs w:val="19"/>
              </w:rPr>
              <w:t>préparer</w:t>
            </w:r>
            <w:r w:rsidR="00EB24DC" w:rsidRPr="00C927E7">
              <w:rPr>
                <w:rFonts w:ascii="Verdana" w:hAnsi="Verdana"/>
                <w:sz w:val="19"/>
                <w:szCs w:val="19"/>
              </w:rPr>
              <w:t xml:space="preserve"> </w:t>
            </w:r>
            <w:r w:rsidR="00CA5C88" w:rsidRPr="00C927E7">
              <w:rPr>
                <w:rFonts w:ascii="Verdana" w:hAnsi="Verdana"/>
                <w:sz w:val="19"/>
                <w:szCs w:val="19"/>
              </w:rPr>
              <w:t xml:space="preserve">au pied levé </w:t>
            </w:r>
            <w:r w:rsidR="00EB24DC" w:rsidRPr="00C927E7">
              <w:rPr>
                <w:rFonts w:ascii="Verdana" w:hAnsi="Verdana"/>
                <w:sz w:val="19"/>
                <w:szCs w:val="19"/>
              </w:rPr>
              <w:t xml:space="preserve">un dîner avec des </w:t>
            </w:r>
            <w:r w:rsidR="00CA5C88" w:rsidRPr="00C927E7">
              <w:rPr>
                <w:rFonts w:ascii="Verdana" w:hAnsi="Verdana"/>
                <w:sz w:val="19"/>
                <w:szCs w:val="19"/>
              </w:rPr>
              <w:t>amis</w:t>
            </w:r>
            <w:r w:rsidR="00EB24DC" w:rsidRPr="00C927E7">
              <w:rPr>
                <w:rFonts w:ascii="Verdana" w:hAnsi="Verdana"/>
                <w:sz w:val="19"/>
                <w:szCs w:val="19"/>
              </w:rPr>
              <w:t xml:space="preserve">, </w:t>
            </w:r>
            <w:r w:rsidR="00CA5C88" w:rsidRPr="00C927E7">
              <w:rPr>
                <w:rFonts w:ascii="Verdana" w:hAnsi="Verdana"/>
                <w:sz w:val="19"/>
                <w:szCs w:val="19"/>
              </w:rPr>
              <w:t>l’action sociale</w:t>
            </w:r>
            <w:r w:rsidR="00E84447" w:rsidRPr="00C927E7">
              <w:rPr>
                <w:rFonts w:ascii="Verdana" w:hAnsi="Verdana"/>
                <w:sz w:val="19"/>
                <w:szCs w:val="19"/>
              </w:rPr>
              <w:t xml:space="preserve">, dans ce cas, étant </w:t>
            </w:r>
            <w:r w:rsidR="00EB24DC" w:rsidRPr="00C927E7">
              <w:rPr>
                <w:rFonts w:ascii="Verdana" w:hAnsi="Verdana"/>
                <w:sz w:val="19"/>
                <w:szCs w:val="19"/>
              </w:rPr>
              <w:t>« </w:t>
            </w:r>
            <w:r w:rsidR="00CA5C88" w:rsidRPr="00C927E7">
              <w:rPr>
                <w:rFonts w:ascii="Verdana" w:hAnsi="Verdana"/>
                <w:sz w:val="19"/>
                <w:szCs w:val="19"/>
              </w:rPr>
              <w:t>dîner avec des amis</w:t>
            </w:r>
            <w:r w:rsidR="00EB24DC" w:rsidRPr="00C927E7">
              <w:rPr>
                <w:rFonts w:ascii="Verdana" w:hAnsi="Verdana"/>
                <w:sz w:val="19"/>
                <w:szCs w:val="19"/>
              </w:rPr>
              <w:t> »</w:t>
            </w:r>
            <w:r w:rsidR="00CA5C88" w:rsidRPr="00C927E7">
              <w:rPr>
                <w:rFonts w:ascii="Verdana" w:hAnsi="Verdana"/>
                <w:sz w:val="19"/>
                <w:szCs w:val="19"/>
              </w:rPr>
              <w:t>.</w:t>
            </w:r>
            <w:r w:rsidR="00A7280F" w:rsidRPr="00C927E7">
              <w:rPr>
                <w:rFonts w:ascii="Verdana" w:hAnsi="Verdana"/>
                <w:sz w:val="19"/>
                <w:szCs w:val="19"/>
              </w:rPr>
              <w:t xml:space="preserve"> « Dîner avec des amis », dans la tradition française, peut même être considéré en fait comme une tâche au service de la véritable action sociale visée, qui est « passer un moment de convivialité avec des amis ».</w:t>
            </w:r>
          </w:p>
          <w:p w14:paraId="094FAC71" w14:textId="77777777" w:rsidR="00056402" w:rsidRPr="00C927E7" w:rsidRDefault="00CA5C88" w:rsidP="00D10DC9">
            <w:pPr>
              <w:keepNext/>
              <w:spacing w:after="60"/>
              <w:jc w:val="both"/>
              <w:rPr>
                <w:rFonts w:ascii="Verdana" w:hAnsi="Verdana"/>
                <w:sz w:val="19"/>
                <w:szCs w:val="19"/>
              </w:rPr>
            </w:pPr>
            <w:r w:rsidRPr="00C927E7">
              <w:rPr>
                <w:rFonts w:ascii="Verdana" w:hAnsi="Verdana"/>
                <w:sz w:val="19"/>
                <w:szCs w:val="19"/>
              </w:rPr>
              <w:t xml:space="preserve">Cette distinction et cette relation entre tâche et action </w:t>
            </w:r>
            <w:r w:rsidR="00872132" w:rsidRPr="00C927E7">
              <w:rPr>
                <w:rFonts w:ascii="Verdana" w:hAnsi="Verdana"/>
                <w:sz w:val="19"/>
                <w:szCs w:val="19"/>
              </w:rPr>
              <w:t xml:space="preserve">en ce qui concerne l’usage </w:t>
            </w:r>
            <w:r w:rsidR="00BD6FA6" w:rsidRPr="00C927E7">
              <w:rPr>
                <w:rFonts w:ascii="Verdana" w:hAnsi="Verdana"/>
                <w:sz w:val="19"/>
                <w:szCs w:val="19"/>
              </w:rPr>
              <w:t>me semble</w:t>
            </w:r>
            <w:r w:rsidR="00C927E7" w:rsidRPr="00C927E7">
              <w:rPr>
                <w:rFonts w:ascii="Verdana" w:hAnsi="Verdana"/>
                <w:sz w:val="19"/>
                <w:szCs w:val="19"/>
              </w:rPr>
              <w:t>nt</w:t>
            </w:r>
            <w:r w:rsidR="00BD6FA6" w:rsidRPr="00C927E7">
              <w:rPr>
                <w:rFonts w:ascii="Verdana" w:hAnsi="Verdana"/>
                <w:sz w:val="19"/>
                <w:szCs w:val="19"/>
              </w:rPr>
              <w:t xml:space="preserve"> cohérente</w:t>
            </w:r>
            <w:r w:rsidR="00C927E7" w:rsidRPr="00C927E7">
              <w:rPr>
                <w:rFonts w:ascii="Verdana" w:hAnsi="Verdana"/>
                <w:sz w:val="19"/>
                <w:szCs w:val="19"/>
              </w:rPr>
              <w:t>s</w:t>
            </w:r>
            <w:r w:rsidR="00BD6FA6" w:rsidRPr="00C927E7">
              <w:rPr>
                <w:rFonts w:ascii="Verdana" w:hAnsi="Verdana"/>
                <w:sz w:val="19"/>
                <w:szCs w:val="19"/>
              </w:rPr>
              <w:t xml:space="preserve"> avec</w:t>
            </w:r>
            <w:r w:rsidR="00E61D80" w:rsidRPr="00C927E7">
              <w:rPr>
                <w:rFonts w:ascii="Verdana" w:hAnsi="Verdana"/>
                <w:sz w:val="19"/>
                <w:szCs w:val="19"/>
              </w:rPr>
              <w:t xml:space="preserve"> celle que je propose</w:t>
            </w:r>
            <w:r w:rsidRPr="00C927E7">
              <w:rPr>
                <w:rFonts w:ascii="Verdana" w:hAnsi="Verdana"/>
                <w:sz w:val="19"/>
                <w:szCs w:val="19"/>
              </w:rPr>
              <w:t xml:space="preserve"> pour ces deux mêmes </w:t>
            </w:r>
            <w:r w:rsidR="00DF6447" w:rsidRPr="00C927E7">
              <w:rPr>
                <w:rFonts w:ascii="Verdana" w:hAnsi="Verdana"/>
                <w:sz w:val="19"/>
                <w:szCs w:val="19"/>
              </w:rPr>
              <w:t>notions</w:t>
            </w:r>
            <w:r w:rsidR="00E61D80" w:rsidRPr="00C927E7">
              <w:rPr>
                <w:rFonts w:ascii="Verdana" w:hAnsi="Verdana"/>
                <w:sz w:val="19"/>
                <w:szCs w:val="19"/>
              </w:rPr>
              <w:t xml:space="preserve"> </w:t>
            </w:r>
            <w:r w:rsidR="00872132" w:rsidRPr="00C927E7">
              <w:rPr>
                <w:rFonts w:ascii="Verdana" w:hAnsi="Verdana"/>
                <w:sz w:val="19"/>
                <w:szCs w:val="19"/>
              </w:rPr>
              <w:t xml:space="preserve">en ce qui concerne l’apprentissage (dans la </w:t>
            </w:r>
            <w:r w:rsidR="0051026A" w:rsidRPr="00C927E7">
              <w:rPr>
                <w:rFonts w:ascii="Verdana" w:hAnsi="Verdana"/>
                <w:sz w:val="19"/>
                <w:szCs w:val="19"/>
              </w:rPr>
              <w:t>classe de langue</w:t>
            </w:r>
            <w:r w:rsidR="00872132" w:rsidRPr="00C927E7">
              <w:rPr>
                <w:rFonts w:ascii="Verdana" w:hAnsi="Verdana"/>
                <w:sz w:val="19"/>
                <w:szCs w:val="19"/>
              </w:rPr>
              <w:t>)</w:t>
            </w:r>
            <w:r w:rsidRPr="00C927E7">
              <w:rPr>
                <w:rFonts w:ascii="Verdana" w:hAnsi="Verdana"/>
                <w:sz w:val="19"/>
                <w:szCs w:val="19"/>
              </w:rPr>
              <w:t xml:space="preserve">, </w:t>
            </w:r>
            <w:r w:rsidR="00E61D80" w:rsidRPr="00C927E7">
              <w:rPr>
                <w:rFonts w:ascii="Verdana" w:hAnsi="Verdana"/>
                <w:sz w:val="19"/>
                <w:szCs w:val="19"/>
              </w:rPr>
              <w:t>où je propose de définir</w:t>
            </w:r>
            <w:r w:rsidRPr="00C927E7">
              <w:rPr>
                <w:rFonts w:ascii="Verdana" w:hAnsi="Verdana"/>
                <w:sz w:val="19"/>
                <w:szCs w:val="19"/>
              </w:rPr>
              <w:t xml:space="preserve"> la tâche comme </w:t>
            </w:r>
            <w:r w:rsidR="00E61D80" w:rsidRPr="00C927E7">
              <w:rPr>
                <w:rFonts w:ascii="Verdana" w:hAnsi="Verdana"/>
                <w:sz w:val="19"/>
                <w:szCs w:val="19"/>
              </w:rPr>
              <w:t xml:space="preserve">une </w:t>
            </w:r>
            <w:r w:rsidRPr="00C927E7">
              <w:rPr>
                <w:rFonts w:ascii="Verdana" w:hAnsi="Verdana"/>
                <w:sz w:val="19"/>
                <w:szCs w:val="19"/>
              </w:rPr>
              <w:t>unité de sens au sei</w:t>
            </w:r>
            <w:r w:rsidR="00872132" w:rsidRPr="00C927E7">
              <w:rPr>
                <w:rFonts w:ascii="Verdana" w:hAnsi="Verdana"/>
                <w:sz w:val="19"/>
                <w:szCs w:val="19"/>
              </w:rPr>
              <w:t xml:space="preserve">n de l’agir d’apprentissage, alors que </w:t>
            </w:r>
            <w:r w:rsidRPr="00C927E7">
              <w:rPr>
                <w:rFonts w:ascii="Verdana" w:hAnsi="Verdana"/>
                <w:sz w:val="19"/>
                <w:szCs w:val="19"/>
              </w:rPr>
              <w:t xml:space="preserve">l’action </w:t>
            </w:r>
            <w:r w:rsidR="00CD0055" w:rsidRPr="00C927E7">
              <w:rPr>
                <w:rFonts w:ascii="Verdana" w:hAnsi="Verdana"/>
                <w:sz w:val="19"/>
                <w:szCs w:val="19"/>
              </w:rPr>
              <w:t xml:space="preserve">y est </w:t>
            </w:r>
            <w:r w:rsidR="00872132" w:rsidRPr="00C927E7">
              <w:rPr>
                <w:rFonts w:ascii="Verdana" w:hAnsi="Verdana"/>
                <w:sz w:val="19"/>
                <w:szCs w:val="19"/>
              </w:rPr>
              <w:t xml:space="preserve">définie </w:t>
            </w:r>
            <w:r w:rsidRPr="00C927E7">
              <w:rPr>
                <w:rFonts w:ascii="Verdana" w:hAnsi="Verdana"/>
                <w:sz w:val="19"/>
                <w:szCs w:val="19"/>
              </w:rPr>
              <w:t xml:space="preserve">comme </w:t>
            </w:r>
            <w:r w:rsidR="00E61D80" w:rsidRPr="00C927E7">
              <w:rPr>
                <w:rFonts w:ascii="Verdana" w:hAnsi="Verdana"/>
                <w:sz w:val="19"/>
                <w:szCs w:val="19"/>
              </w:rPr>
              <w:t xml:space="preserve">une </w:t>
            </w:r>
            <w:r w:rsidRPr="00C927E7">
              <w:rPr>
                <w:rFonts w:ascii="Verdana" w:hAnsi="Verdana"/>
                <w:sz w:val="19"/>
                <w:szCs w:val="19"/>
              </w:rPr>
              <w:t>unité de sens au sein de l’agir d’usage</w:t>
            </w:r>
            <w:r w:rsidR="00224482" w:rsidRPr="00C927E7">
              <w:rPr>
                <w:rFonts w:ascii="Verdana" w:hAnsi="Verdana"/>
                <w:sz w:val="19"/>
                <w:szCs w:val="19"/>
              </w:rPr>
              <w:t> : voir mon modèle « </w:t>
            </w:r>
            <w:r w:rsidR="0051026A" w:rsidRPr="00C927E7">
              <w:rPr>
                <w:rFonts w:ascii="Verdana" w:hAnsi="Verdana"/>
                <w:sz w:val="19"/>
                <w:szCs w:val="19"/>
              </w:rPr>
              <w:t xml:space="preserve">Intersections entre agir d'apprentissage ("tâches") et agir d'usage ("actions") », </w:t>
            </w:r>
            <w:hyperlink r:id="rId15" w:history="1">
              <w:r w:rsidR="00872132" w:rsidRPr="00C927E7">
                <w:rPr>
                  <w:rStyle w:val="Lienhypertexte"/>
                  <w:rFonts w:ascii="Verdana" w:hAnsi="Verdana"/>
                  <w:sz w:val="19"/>
                  <w:szCs w:val="19"/>
                </w:rPr>
                <w:t>www.christianpuren.com/bibliothèque-de-travail/025/</w:t>
              </w:r>
            </w:hyperlink>
            <w:r w:rsidR="00E61D80" w:rsidRPr="00C927E7">
              <w:rPr>
                <w:rFonts w:ascii="Verdana" w:hAnsi="Verdana"/>
                <w:sz w:val="19"/>
                <w:szCs w:val="19"/>
              </w:rPr>
              <w:t>)</w:t>
            </w:r>
            <w:r w:rsidR="0051026A" w:rsidRPr="00C927E7">
              <w:rPr>
                <w:rFonts w:ascii="Verdana" w:hAnsi="Verdana"/>
                <w:sz w:val="19"/>
                <w:szCs w:val="19"/>
              </w:rPr>
              <w:t>.</w:t>
            </w:r>
            <w:r w:rsidR="00872132" w:rsidRPr="00C927E7">
              <w:rPr>
                <w:rFonts w:ascii="Verdana" w:hAnsi="Verdana"/>
                <w:sz w:val="19"/>
                <w:szCs w:val="19"/>
              </w:rPr>
              <w:t xml:space="preserve"> </w:t>
            </w:r>
            <w:r w:rsidR="00BD6FA6" w:rsidRPr="00C927E7">
              <w:rPr>
                <w:rFonts w:ascii="Verdana" w:hAnsi="Verdana"/>
                <w:sz w:val="19"/>
                <w:szCs w:val="19"/>
              </w:rPr>
              <w:t xml:space="preserve">Lorsqu’on la considère « dans une perspective actionnelle », c’est-à-dire en fonction de l’action sociale, en effet, toute </w:t>
            </w:r>
            <w:r w:rsidR="00C927E7" w:rsidRPr="00C927E7">
              <w:rPr>
                <w:rFonts w:ascii="Verdana" w:hAnsi="Verdana"/>
                <w:sz w:val="19"/>
                <w:szCs w:val="19"/>
              </w:rPr>
              <w:t>unité d’</w:t>
            </w:r>
            <w:r w:rsidR="00BD6FA6" w:rsidRPr="00C927E7">
              <w:rPr>
                <w:rFonts w:ascii="Verdana" w:hAnsi="Verdana"/>
                <w:sz w:val="19"/>
                <w:szCs w:val="19"/>
              </w:rPr>
              <w:t>activité d’apprentissage est forcément une « tâche » au service d’une « action »</w:t>
            </w:r>
            <w:r w:rsidR="001857D3" w:rsidRPr="00C927E7">
              <w:rPr>
                <w:rFonts w:ascii="Verdana" w:hAnsi="Verdana"/>
                <w:sz w:val="19"/>
                <w:szCs w:val="19"/>
              </w:rPr>
              <w:t>.</w:t>
            </w:r>
            <w:r w:rsidR="00BD6FA6" w:rsidRPr="00C927E7">
              <w:rPr>
                <w:rFonts w:ascii="Verdana" w:hAnsi="Verdana"/>
                <w:sz w:val="19"/>
                <w:szCs w:val="19"/>
              </w:rPr>
              <w:t xml:space="preserve"> </w:t>
            </w:r>
            <w:r w:rsidR="00872132" w:rsidRPr="00C927E7">
              <w:rPr>
                <w:rFonts w:ascii="Verdana" w:hAnsi="Verdana"/>
                <w:sz w:val="19"/>
                <w:szCs w:val="19"/>
              </w:rPr>
              <w:t>On retrouve dans les d</w:t>
            </w:r>
            <w:r w:rsidR="001857D3" w:rsidRPr="00C927E7">
              <w:rPr>
                <w:rFonts w:ascii="Verdana" w:hAnsi="Verdana"/>
                <w:sz w:val="19"/>
                <w:szCs w:val="19"/>
              </w:rPr>
              <w:t>eux milieux</w:t>
            </w:r>
            <w:r w:rsidR="00872132" w:rsidRPr="00C927E7">
              <w:rPr>
                <w:rFonts w:ascii="Verdana" w:hAnsi="Verdana"/>
                <w:sz w:val="19"/>
                <w:szCs w:val="19"/>
              </w:rPr>
              <w:t xml:space="preserve"> </w:t>
            </w:r>
            <w:r w:rsidR="00BD6FA6" w:rsidRPr="00C927E7">
              <w:rPr>
                <w:rFonts w:ascii="Verdana" w:hAnsi="Verdana"/>
                <w:sz w:val="19"/>
                <w:szCs w:val="19"/>
              </w:rPr>
              <w:t>– en classe et dans la société extérieure −</w:t>
            </w:r>
            <w:r w:rsidR="001857D3" w:rsidRPr="00C927E7">
              <w:rPr>
                <w:rFonts w:ascii="Verdana" w:hAnsi="Verdana"/>
                <w:sz w:val="19"/>
                <w:szCs w:val="19"/>
              </w:rPr>
              <w:t xml:space="preserve"> </w:t>
            </w:r>
            <w:r w:rsidR="00872132" w:rsidRPr="00C927E7">
              <w:rPr>
                <w:rFonts w:ascii="Verdana" w:hAnsi="Verdana"/>
                <w:sz w:val="19"/>
                <w:szCs w:val="19"/>
              </w:rPr>
              <w:t xml:space="preserve">le même type de hiérarchisation entre les deux </w:t>
            </w:r>
            <w:r w:rsidR="00DF6447" w:rsidRPr="00C927E7">
              <w:rPr>
                <w:rFonts w:ascii="Verdana" w:hAnsi="Verdana"/>
                <w:sz w:val="19"/>
                <w:szCs w:val="19"/>
              </w:rPr>
              <w:t>notions</w:t>
            </w:r>
            <w:r w:rsidR="00872132" w:rsidRPr="00C927E7">
              <w:rPr>
                <w:rFonts w:ascii="Verdana" w:hAnsi="Verdana"/>
                <w:sz w:val="19"/>
                <w:szCs w:val="19"/>
              </w:rPr>
              <w:t xml:space="preserve">, la tâche </w:t>
            </w:r>
            <w:r w:rsidR="001857D3" w:rsidRPr="00C927E7">
              <w:rPr>
                <w:rFonts w:ascii="Verdana" w:hAnsi="Verdana"/>
                <w:sz w:val="19"/>
                <w:szCs w:val="19"/>
              </w:rPr>
              <w:t xml:space="preserve">y </w:t>
            </w:r>
            <w:r w:rsidR="00872132" w:rsidRPr="00C927E7">
              <w:rPr>
                <w:rFonts w:ascii="Verdana" w:hAnsi="Verdana"/>
                <w:sz w:val="19"/>
                <w:szCs w:val="19"/>
              </w:rPr>
              <w:t xml:space="preserve">ayant </w:t>
            </w:r>
            <w:r w:rsidR="00CD0055" w:rsidRPr="00C927E7">
              <w:rPr>
                <w:rFonts w:ascii="Verdana" w:hAnsi="Verdana"/>
                <w:sz w:val="19"/>
                <w:szCs w:val="19"/>
              </w:rPr>
              <w:t xml:space="preserve">fondamentalement </w:t>
            </w:r>
            <w:r w:rsidR="00872132" w:rsidRPr="00C927E7">
              <w:rPr>
                <w:rFonts w:ascii="Verdana" w:hAnsi="Verdana"/>
                <w:sz w:val="19"/>
                <w:szCs w:val="19"/>
              </w:rPr>
              <w:t>le statut de moyen au service de l’action</w:t>
            </w:r>
            <w:r w:rsidR="008E65B0" w:rsidRPr="00C927E7">
              <w:rPr>
                <w:rFonts w:ascii="Verdana" w:hAnsi="Verdana"/>
                <w:sz w:val="19"/>
                <w:szCs w:val="19"/>
              </w:rPr>
              <w:t xml:space="preserve"> : je propose </w:t>
            </w:r>
            <w:r w:rsidR="001857D3" w:rsidRPr="00C927E7">
              <w:rPr>
                <w:rFonts w:ascii="Verdana" w:hAnsi="Verdana"/>
                <w:sz w:val="19"/>
                <w:szCs w:val="19"/>
              </w:rPr>
              <w:t xml:space="preserve">d’ailleurs </w:t>
            </w:r>
            <w:r w:rsidR="008E65B0" w:rsidRPr="00C927E7">
              <w:rPr>
                <w:rFonts w:ascii="Verdana" w:hAnsi="Verdana"/>
                <w:sz w:val="19"/>
                <w:szCs w:val="19"/>
              </w:rPr>
              <w:t>de la définir comme « unité d’activité considérée comme moyen au service d’une action »</w:t>
            </w:r>
            <w:r w:rsidR="00872132" w:rsidRPr="00C927E7">
              <w:rPr>
                <w:rFonts w:ascii="Verdana" w:hAnsi="Verdana"/>
                <w:sz w:val="19"/>
                <w:szCs w:val="19"/>
              </w:rPr>
              <w:t>.</w:t>
            </w:r>
            <w:r w:rsidR="00CD0055" w:rsidRPr="00C927E7">
              <w:rPr>
                <w:rFonts w:ascii="Verdana" w:hAnsi="Verdana"/>
                <w:sz w:val="19"/>
                <w:szCs w:val="19"/>
              </w:rPr>
              <w:t xml:space="preserve"> En entreprise (milie</w:t>
            </w:r>
            <w:r w:rsidR="00DF6447" w:rsidRPr="00C927E7">
              <w:rPr>
                <w:rFonts w:ascii="Verdana" w:hAnsi="Verdana"/>
                <w:sz w:val="19"/>
                <w:szCs w:val="19"/>
              </w:rPr>
              <w:t xml:space="preserve">u où est née la notion </w:t>
            </w:r>
            <w:r w:rsidR="00BD6FA6" w:rsidRPr="00C927E7">
              <w:rPr>
                <w:rFonts w:ascii="Verdana" w:hAnsi="Verdana"/>
                <w:sz w:val="19"/>
                <w:szCs w:val="19"/>
              </w:rPr>
              <w:t>de compét</w:t>
            </w:r>
            <w:r w:rsidR="00CD0055" w:rsidRPr="00C927E7">
              <w:rPr>
                <w:rFonts w:ascii="Verdana" w:hAnsi="Verdana"/>
                <w:sz w:val="19"/>
                <w:szCs w:val="19"/>
              </w:rPr>
              <w:t xml:space="preserve">ence), les « tâches » sont </w:t>
            </w:r>
            <w:r w:rsidR="008E65B0" w:rsidRPr="00C927E7">
              <w:rPr>
                <w:rFonts w:ascii="Verdana" w:hAnsi="Verdana"/>
                <w:sz w:val="19"/>
                <w:szCs w:val="19"/>
              </w:rPr>
              <w:t xml:space="preserve">également </w:t>
            </w:r>
            <w:r w:rsidR="00CD0055" w:rsidRPr="00C927E7">
              <w:rPr>
                <w:rFonts w:ascii="Verdana" w:hAnsi="Verdana"/>
                <w:sz w:val="19"/>
                <w:szCs w:val="19"/>
              </w:rPr>
              <w:t>des moyens au service des proj</w:t>
            </w:r>
            <w:r w:rsidR="008E65B0" w:rsidRPr="00C927E7">
              <w:rPr>
                <w:rFonts w:ascii="Verdana" w:hAnsi="Verdana"/>
                <w:sz w:val="19"/>
                <w:szCs w:val="19"/>
              </w:rPr>
              <w:t xml:space="preserve">ets et </w:t>
            </w:r>
            <w:r w:rsidR="00CD0055" w:rsidRPr="00C927E7">
              <w:rPr>
                <w:rFonts w:ascii="Verdana" w:hAnsi="Verdana"/>
                <w:sz w:val="19"/>
                <w:szCs w:val="19"/>
              </w:rPr>
              <w:t>de l’activité globale de l’entreprise.</w:t>
            </w:r>
          </w:p>
        </w:tc>
      </w:tr>
      <w:tr w:rsidR="00FE399B" w:rsidRPr="001E5D45" w14:paraId="043BFDA0" w14:textId="77777777" w:rsidTr="00DF6447">
        <w:tc>
          <w:tcPr>
            <w:tcW w:w="1809" w:type="dxa"/>
          </w:tcPr>
          <w:p w14:paraId="4EC8E63E" w14:textId="77777777" w:rsidR="00FE399B" w:rsidRPr="001E5D45" w:rsidRDefault="00872132" w:rsidP="008D2BB9">
            <w:pPr>
              <w:rPr>
                <w:rFonts w:ascii="Verdana" w:hAnsi="Verdana"/>
                <w:sz w:val="20"/>
                <w:szCs w:val="20"/>
              </w:rPr>
            </w:pPr>
            <w:r>
              <w:rPr>
                <w:rFonts w:ascii="Verdana" w:hAnsi="Verdana"/>
                <w:b/>
                <w:sz w:val="20"/>
                <w:szCs w:val="20"/>
              </w:rPr>
              <w:t>(5)</w:t>
            </w:r>
            <w:r w:rsidR="0016347D" w:rsidRPr="001E5D45">
              <w:rPr>
                <w:rFonts w:ascii="Verdana" w:hAnsi="Verdana"/>
                <w:sz w:val="20"/>
                <w:szCs w:val="20"/>
              </w:rPr>
              <w:t xml:space="preserve"> </w:t>
            </w:r>
            <w:r w:rsidR="000F3EA3" w:rsidRPr="001E5D45">
              <w:rPr>
                <w:rFonts w:ascii="Verdana" w:hAnsi="Verdana"/>
                <w:sz w:val="20"/>
                <w:szCs w:val="20"/>
              </w:rPr>
              <w:t>« </w:t>
            </w:r>
            <w:r w:rsidR="00FE399B" w:rsidRPr="001E5D45">
              <w:rPr>
                <w:rFonts w:ascii="Verdana" w:hAnsi="Verdana"/>
                <w:sz w:val="20"/>
                <w:szCs w:val="20"/>
              </w:rPr>
              <w:t>action sociale</w:t>
            </w:r>
            <w:r w:rsidR="000F3EA3" w:rsidRPr="001E5D45">
              <w:rPr>
                <w:rFonts w:ascii="Verdana" w:hAnsi="Verdana"/>
                <w:sz w:val="20"/>
                <w:szCs w:val="20"/>
              </w:rPr>
              <w:t> »</w:t>
            </w:r>
          </w:p>
        </w:tc>
        <w:tc>
          <w:tcPr>
            <w:tcW w:w="7969" w:type="dxa"/>
          </w:tcPr>
          <w:p w14:paraId="0C35BA62" w14:textId="77777777" w:rsidR="006938A1" w:rsidRPr="00C927E7" w:rsidRDefault="0018612A" w:rsidP="006830DD">
            <w:pPr>
              <w:spacing w:after="60"/>
              <w:jc w:val="both"/>
              <w:rPr>
                <w:rFonts w:ascii="Verdana" w:hAnsi="Verdana"/>
                <w:sz w:val="19"/>
                <w:szCs w:val="19"/>
              </w:rPr>
            </w:pPr>
            <w:r w:rsidRPr="00C927E7">
              <w:rPr>
                <w:rFonts w:ascii="Verdana" w:hAnsi="Verdana"/>
                <w:sz w:val="19"/>
                <w:szCs w:val="19"/>
              </w:rPr>
              <w:t xml:space="preserve">La dimension sociale </w:t>
            </w:r>
            <w:r w:rsidR="0026454D" w:rsidRPr="00C927E7">
              <w:rPr>
                <w:rFonts w:ascii="Verdana" w:hAnsi="Verdana"/>
                <w:sz w:val="19"/>
                <w:szCs w:val="19"/>
              </w:rPr>
              <w:t xml:space="preserve">de l’action </w:t>
            </w:r>
            <w:r w:rsidRPr="00C927E7">
              <w:rPr>
                <w:rFonts w:ascii="Verdana" w:hAnsi="Verdana"/>
                <w:sz w:val="19"/>
                <w:szCs w:val="19"/>
              </w:rPr>
              <w:t>peut être plus ou moins forte, mais pour qu’il y ait action sociale, il faut au minimum que l’action individuelle implique</w:t>
            </w:r>
            <w:r w:rsidR="006938A1" w:rsidRPr="00C927E7">
              <w:rPr>
                <w:rFonts w:ascii="Verdana" w:hAnsi="Verdana"/>
                <w:sz w:val="19"/>
                <w:szCs w:val="19"/>
              </w:rPr>
              <w:t xml:space="preserve"> </w:t>
            </w:r>
            <w:r w:rsidR="00CF0EBC" w:rsidRPr="00C927E7">
              <w:rPr>
                <w:rFonts w:ascii="Verdana" w:hAnsi="Verdana"/>
                <w:sz w:val="19"/>
                <w:szCs w:val="19"/>
              </w:rPr>
              <w:t xml:space="preserve">un tant soit peu </w:t>
            </w:r>
            <w:r w:rsidR="006938A1" w:rsidRPr="00C927E7">
              <w:rPr>
                <w:rFonts w:ascii="Verdana" w:hAnsi="Verdana"/>
                <w:sz w:val="19"/>
                <w:szCs w:val="19"/>
              </w:rPr>
              <w:t xml:space="preserve">l’action d’autres </w:t>
            </w:r>
            <w:r w:rsidRPr="00C927E7">
              <w:rPr>
                <w:rFonts w:ascii="Verdana" w:hAnsi="Verdana"/>
                <w:sz w:val="19"/>
                <w:szCs w:val="19"/>
              </w:rPr>
              <w:t>personnes</w:t>
            </w:r>
            <w:r w:rsidR="00CF0EBC" w:rsidRPr="00C927E7">
              <w:rPr>
                <w:rFonts w:ascii="Verdana" w:hAnsi="Verdana"/>
                <w:sz w:val="19"/>
                <w:szCs w:val="19"/>
              </w:rPr>
              <w:t xml:space="preserve"> : </w:t>
            </w:r>
            <w:r w:rsidR="000F4AB9" w:rsidRPr="00C927E7">
              <w:rPr>
                <w:rFonts w:ascii="Verdana" w:hAnsi="Verdana"/>
                <w:sz w:val="19"/>
                <w:szCs w:val="19"/>
              </w:rPr>
              <w:t xml:space="preserve">passer un entretien d’embauche, </w:t>
            </w:r>
            <w:r w:rsidR="00CF0EBC" w:rsidRPr="00C927E7">
              <w:rPr>
                <w:rFonts w:ascii="Verdana" w:hAnsi="Verdana"/>
                <w:sz w:val="19"/>
                <w:szCs w:val="19"/>
              </w:rPr>
              <w:t xml:space="preserve">organiser une fête </w:t>
            </w:r>
            <w:r w:rsidR="00BD6FA6" w:rsidRPr="00C927E7">
              <w:rPr>
                <w:rFonts w:ascii="Verdana" w:hAnsi="Verdana"/>
                <w:sz w:val="19"/>
                <w:szCs w:val="19"/>
              </w:rPr>
              <w:t xml:space="preserve">pour se faire de nouveau amis </w:t>
            </w:r>
            <w:r w:rsidR="000F4AB9" w:rsidRPr="00C927E7">
              <w:rPr>
                <w:rFonts w:ascii="Verdana" w:hAnsi="Verdana"/>
                <w:sz w:val="19"/>
                <w:szCs w:val="19"/>
              </w:rPr>
              <w:t>(exemple pris pour ce TP)</w:t>
            </w:r>
            <w:r w:rsidR="00CF0EBC" w:rsidRPr="00C927E7">
              <w:rPr>
                <w:rFonts w:ascii="Verdana" w:hAnsi="Verdana"/>
                <w:sz w:val="19"/>
                <w:szCs w:val="19"/>
              </w:rPr>
              <w:t xml:space="preserve">, </w:t>
            </w:r>
            <w:r w:rsidR="00C927E7" w:rsidRPr="00C927E7">
              <w:rPr>
                <w:rFonts w:ascii="Verdana" w:hAnsi="Verdana"/>
                <w:sz w:val="19"/>
                <w:szCs w:val="19"/>
              </w:rPr>
              <w:t xml:space="preserve">« changer en famille la décoration du salon » (autre exemple pris pour ce TP), </w:t>
            </w:r>
            <w:r w:rsidR="00CF0EBC" w:rsidRPr="00C927E7">
              <w:rPr>
                <w:rFonts w:ascii="Verdana" w:hAnsi="Verdana"/>
                <w:sz w:val="19"/>
                <w:szCs w:val="19"/>
              </w:rPr>
              <w:t>faire un voyage avec des amis,</w:t>
            </w:r>
            <w:r w:rsidR="000F4AB9" w:rsidRPr="00C927E7">
              <w:rPr>
                <w:rFonts w:ascii="Verdana" w:hAnsi="Verdana"/>
                <w:sz w:val="19"/>
                <w:szCs w:val="19"/>
              </w:rPr>
              <w:t xml:space="preserve"> </w:t>
            </w:r>
            <w:r w:rsidR="00CF0EBC" w:rsidRPr="00C927E7">
              <w:rPr>
                <w:rFonts w:ascii="Verdana" w:hAnsi="Verdana"/>
                <w:sz w:val="19"/>
                <w:szCs w:val="19"/>
              </w:rPr>
              <w:t xml:space="preserve">se marier, par exemple, sont des actions </w:t>
            </w:r>
            <w:r w:rsidR="000F4AB9" w:rsidRPr="00C927E7">
              <w:rPr>
                <w:rFonts w:ascii="Verdana" w:hAnsi="Verdana"/>
                <w:sz w:val="19"/>
                <w:szCs w:val="19"/>
              </w:rPr>
              <w:t xml:space="preserve">que l’on peut placer intuitivement de cette manière sur une échelle progressive en termes d’implication nécessaire d’autres personnes </w:t>
            </w:r>
            <w:r w:rsidR="001857D3" w:rsidRPr="00C927E7">
              <w:rPr>
                <w:rFonts w:ascii="Verdana" w:hAnsi="Verdana"/>
                <w:sz w:val="19"/>
                <w:szCs w:val="19"/>
              </w:rPr>
              <w:t>dans l’action pour que celle-ci puisse</w:t>
            </w:r>
            <w:r w:rsidR="000F4AB9" w:rsidRPr="00C927E7">
              <w:rPr>
                <w:rFonts w:ascii="Verdana" w:hAnsi="Verdana"/>
                <w:sz w:val="19"/>
                <w:szCs w:val="19"/>
              </w:rPr>
              <w:t xml:space="preserve"> réussir</w:t>
            </w:r>
            <w:r w:rsidR="00224482" w:rsidRPr="00C927E7">
              <w:rPr>
                <w:rFonts w:ascii="Verdana" w:hAnsi="Verdana"/>
                <w:sz w:val="19"/>
                <w:szCs w:val="19"/>
              </w:rPr>
              <w:t xml:space="preserve">. </w:t>
            </w:r>
            <w:r w:rsidR="000F4AB9" w:rsidRPr="00C927E7">
              <w:rPr>
                <w:rFonts w:ascii="Verdana" w:hAnsi="Verdana"/>
                <w:sz w:val="19"/>
                <w:szCs w:val="19"/>
              </w:rPr>
              <w:t xml:space="preserve">Cette implication sociale est logiquement plus </w:t>
            </w:r>
            <w:r w:rsidR="006830DD" w:rsidRPr="00C927E7">
              <w:rPr>
                <w:rFonts w:ascii="Verdana" w:hAnsi="Verdana"/>
                <w:sz w:val="19"/>
                <w:szCs w:val="19"/>
              </w:rPr>
              <w:t>forte</w:t>
            </w:r>
            <w:r w:rsidRPr="00C927E7">
              <w:rPr>
                <w:rFonts w:ascii="Verdana" w:hAnsi="Verdana"/>
                <w:sz w:val="19"/>
                <w:szCs w:val="19"/>
              </w:rPr>
              <w:t xml:space="preserve"> si l’action a </w:t>
            </w:r>
            <w:r w:rsidR="00654743" w:rsidRPr="00C927E7">
              <w:rPr>
                <w:rFonts w:ascii="Verdana" w:hAnsi="Verdana"/>
                <w:sz w:val="19"/>
                <w:szCs w:val="19"/>
              </w:rPr>
              <w:t xml:space="preserve">elle-même </w:t>
            </w:r>
            <w:r w:rsidRPr="00C927E7">
              <w:rPr>
                <w:rFonts w:ascii="Verdana" w:hAnsi="Verdana"/>
                <w:sz w:val="19"/>
                <w:szCs w:val="19"/>
              </w:rPr>
              <w:t>une visée sociale</w:t>
            </w:r>
            <w:r w:rsidR="001857D3" w:rsidRPr="00C927E7">
              <w:rPr>
                <w:rFonts w:ascii="Verdana" w:hAnsi="Verdana"/>
                <w:sz w:val="19"/>
                <w:szCs w:val="19"/>
              </w:rPr>
              <w:t xml:space="preserve"> et si elle s’</w:t>
            </w:r>
            <w:r w:rsidR="00654743" w:rsidRPr="00C927E7">
              <w:rPr>
                <w:rFonts w:ascii="Verdana" w:hAnsi="Verdana"/>
                <w:sz w:val="19"/>
                <w:szCs w:val="19"/>
              </w:rPr>
              <w:t>inscrit dans une plus longue</w:t>
            </w:r>
            <w:r w:rsidR="001857D3" w:rsidRPr="00C927E7">
              <w:rPr>
                <w:rFonts w:ascii="Verdana" w:hAnsi="Verdana"/>
                <w:sz w:val="19"/>
                <w:szCs w:val="19"/>
              </w:rPr>
              <w:t xml:space="preserve"> durée</w:t>
            </w:r>
            <w:r w:rsidR="00224482" w:rsidRPr="00C927E7">
              <w:rPr>
                <w:rFonts w:ascii="Verdana" w:hAnsi="Verdana"/>
                <w:sz w:val="19"/>
                <w:szCs w:val="19"/>
              </w:rPr>
              <w:t xml:space="preserve"> (</w:t>
            </w:r>
            <w:r w:rsidR="001857D3" w:rsidRPr="00C927E7">
              <w:rPr>
                <w:rFonts w:ascii="Verdana" w:hAnsi="Verdana"/>
                <w:sz w:val="19"/>
                <w:szCs w:val="19"/>
              </w:rPr>
              <w:t>signer une pétition sur Internet</w:t>
            </w:r>
            <w:r w:rsidR="00654743" w:rsidRPr="00C927E7">
              <w:rPr>
                <w:rFonts w:ascii="Verdana" w:hAnsi="Verdana"/>
                <w:sz w:val="19"/>
                <w:szCs w:val="19"/>
              </w:rPr>
              <w:t xml:space="preserve"> engage moins que</w:t>
            </w:r>
            <w:r w:rsidR="006830DD" w:rsidRPr="00C927E7">
              <w:rPr>
                <w:rFonts w:ascii="Verdana" w:hAnsi="Verdana"/>
                <w:sz w:val="19"/>
                <w:szCs w:val="19"/>
              </w:rPr>
              <w:t xml:space="preserve"> militer dans une ONG</w:t>
            </w:r>
            <w:r w:rsidR="00224482" w:rsidRPr="00C927E7">
              <w:rPr>
                <w:rFonts w:ascii="Verdana" w:hAnsi="Verdana"/>
                <w:sz w:val="19"/>
                <w:szCs w:val="19"/>
              </w:rPr>
              <w:t xml:space="preserve">), </w:t>
            </w:r>
            <w:r w:rsidR="000F4AB9" w:rsidRPr="00C927E7">
              <w:rPr>
                <w:rFonts w:ascii="Verdana" w:hAnsi="Verdana"/>
                <w:sz w:val="19"/>
                <w:szCs w:val="19"/>
              </w:rPr>
              <w:t xml:space="preserve">plus encore </w:t>
            </w:r>
            <w:r w:rsidR="00224482" w:rsidRPr="00C927E7">
              <w:rPr>
                <w:rFonts w:ascii="Verdana" w:hAnsi="Verdana"/>
                <w:sz w:val="19"/>
                <w:szCs w:val="19"/>
              </w:rPr>
              <w:t xml:space="preserve">si l’action à visée </w:t>
            </w:r>
            <w:r w:rsidR="000F4AB9" w:rsidRPr="00C927E7">
              <w:rPr>
                <w:rFonts w:ascii="Verdana" w:hAnsi="Verdana"/>
                <w:sz w:val="19"/>
                <w:szCs w:val="19"/>
              </w:rPr>
              <w:t>sociale</w:t>
            </w:r>
            <w:r w:rsidR="00224482" w:rsidRPr="00C927E7">
              <w:rPr>
                <w:rFonts w:ascii="Verdana" w:hAnsi="Verdana"/>
                <w:sz w:val="19"/>
                <w:szCs w:val="19"/>
              </w:rPr>
              <w:t xml:space="preserve"> est elle-même collective (réaliser un projet en classe avec les autres élèves, faire partie d’une équipe éducative</w:t>
            </w:r>
            <w:r w:rsidR="000F4AB9" w:rsidRPr="00C927E7">
              <w:rPr>
                <w:rFonts w:ascii="Verdana" w:hAnsi="Verdana"/>
                <w:sz w:val="19"/>
                <w:szCs w:val="19"/>
              </w:rPr>
              <w:t>)</w:t>
            </w:r>
            <w:r w:rsidR="001857D3" w:rsidRPr="00C927E7">
              <w:rPr>
                <w:rFonts w:ascii="Verdana" w:hAnsi="Verdana"/>
                <w:sz w:val="19"/>
                <w:szCs w:val="19"/>
              </w:rPr>
              <w:t xml:space="preserve"> ; </w:t>
            </w:r>
            <w:r w:rsidR="00654743" w:rsidRPr="00C927E7">
              <w:rPr>
                <w:rFonts w:ascii="Verdana" w:hAnsi="Verdana"/>
                <w:sz w:val="19"/>
                <w:szCs w:val="19"/>
              </w:rPr>
              <w:t xml:space="preserve">et </w:t>
            </w:r>
            <w:r w:rsidR="006830DD" w:rsidRPr="00C927E7">
              <w:rPr>
                <w:rFonts w:ascii="Verdana" w:hAnsi="Verdana"/>
                <w:sz w:val="19"/>
                <w:szCs w:val="19"/>
              </w:rPr>
              <w:t xml:space="preserve">plus est large la collectivité visée par l’action, plus cette implication est forte, en particulier parce qu’elle doit </w:t>
            </w:r>
            <w:r w:rsidR="001857D3" w:rsidRPr="00C927E7">
              <w:rPr>
                <w:rFonts w:ascii="Verdana" w:hAnsi="Verdana"/>
                <w:sz w:val="19"/>
                <w:szCs w:val="19"/>
              </w:rPr>
              <w:t>s’</w:t>
            </w:r>
            <w:r w:rsidR="006830DD" w:rsidRPr="00C927E7">
              <w:rPr>
                <w:rFonts w:ascii="Verdana" w:hAnsi="Verdana"/>
                <w:sz w:val="19"/>
                <w:szCs w:val="19"/>
              </w:rPr>
              <w:t>inscrir</w:t>
            </w:r>
            <w:r w:rsidR="001857D3" w:rsidRPr="00C927E7">
              <w:rPr>
                <w:rFonts w:ascii="Verdana" w:hAnsi="Verdana"/>
                <w:sz w:val="19"/>
                <w:szCs w:val="19"/>
              </w:rPr>
              <w:t xml:space="preserve">e dans </w:t>
            </w:r>
            <w:r w:rsidR="006830DD" w:rsidRPr="00C927E7">
              <w:rPr>
                <w:rFonts w:ascii="Verdana" w:hAnsi="Verdana"/>
                <w:sz w:val="19"/>
                <w:szCs w:val="19"/>
              </w:rPr>
              <w:t xml:space="preserve">une </w:t>
            </w:r>
            <w:r w:rsidR="001857D3" w:rsidRPr="00C927E7">
              <w:rPr>
                <w:rFonts w:ascii="Verdana" w:hAnsi="Verdana"/>
                <w:sz w:val="19"/>
                <w:szCs w:val="19"/>
              </w:rPr>
              <w:t xml:space="preserve">durée, </w:t>
            </w:r>
            <w:r w:rsidR="000F4AB9" w:rsidRPr="00C927E7">
              <w:rPr>
                <w:rFonts w:ascii="Verdana" w:hAnsi="Verdana"/>
                <w:sz w:val="19"/>
                <w:szCs w:val="19"/>
              </w:rPr>
              <w:t xml:space="preserve">comme </w:t>
            </w:r>
            <w:r w:rsidR="00224482" w:rsidRPr="00C927E7">
              <w:rPr>
                <w:rFonts w:ascii="Verdana" w:hAnsi="Verdana"/>
                <w:sz w:val="19"/>
                <w:szCs w:val="19"/>
              </w:rPr>
              <w:t xml:space="preserve">militer dans un parti politique, </w:t>
            </w:r>
            <w:r w:rsidR="000F4AB9" w:rsidRPr="00C927E7">
              <w:rPr>
                <w:rFonts w:ascii="Verdana" w:hAnsi="Verdana"/>
                <w:sz w:val="19"/>
                <w:szCs w:val="19"/>
              </w:rPr>
              <w:t>un syndicat ou une association, où il s</w:t>
            </w:r>
            <w:r w:rsidR="001857D3" w:rsidRPr="00C927E7">
              <w:rPr>
                <w:rFonts w:ascii="Verdana" w:hAnsi="Verdana"/>
                <w:sz w:val="19"/>
                <w:szCs w:val="19"/>
              </w:rPr>
              <w:t xml:space="preserve">’agit d’agir </w:t>
            </w:r>
            <w:r w:rsidR="000F4AB9" w:rsidRPr="00C927E7">
              <w:rPr>
                <w:rFonts w:ascii="Verdana" w:hAnsi="Verdana"/>
                <w:sz w:val="19"/>
                <w:szCs w:val="19"/>
              </w:rPr>
              <w:t>sur l’environnement social</w:t>
            </w:r>
            <w:r w:rsidR="006830DD" w:rsidRPr="00C927E7">
              <w:rPr>
                <w:rFonts w:ascii="Verdana" w:hAnsi="Verdana"/>
                <w:sz w:val="19"/>
                <w:szCs w:val="19"/>
              </w:rPr>
              <w:t xml:space="preserve"> et à une échelle temporelle qui dépasse la durée d’engagement d’un individu</w:t>
            </w:r>
            <w:r w:rsidR="00224482" w:rsidRPr="00C927E7">
              <w:rPr>
                <w:rFonts w:ascii="Verdana" w:hAnsi="Verdana"/>
                <w:sz w:val="19"/>
                <w:szCs w:val="19"/>
              </w:rPr>
              <w:t>.</w:t>
            </w:r>
          </w:p>
        </w:tc>
      </w:tr>
    </w:tbl>
    <w:p w14:paraId="0C7D8333" w14:textId="77777777" w:rsidR="00FE399B" w:rsidRDefault="00FE399B" w:rsidP="00FE399B">
      <w:pPr>
        <w:spacing w:after="0" w:line="240" w:lineRule="auto"/>
        <w:rPr>
          <w:rFonts w:ascii="Verdana" w:hAnsi="Verdana"/>
          <w:sz w:val="20"/>
          <w:szCs w:val="20"/>
        </w:rPr>
      </w:pPr>
    </w:p>
    <w:p w14:paraId="461EE51D" w14:textId="77777777" w:rsidR="008E65B0" w:rsidRPr="008E65B0" w:rsidRDefault="008E65B0" w:rsidP="008E65B0">
      <w:pPr>
        <w:spacing w:after="0" w:line="240" w:lineRule="auto"/>
        <w:jc w:val="center"/>
        <w:rPr>
          <w:rFonts w:ascii="Verdana" w:hAnsi="Verdana"/>
          <w:b/>
          <w:i/>
          <w:sz w:val="20"/>
          <w:szCs w:val="20"/>
        </w:rPr>
      </w:pPr>
      <w:r w:rsidRPr="008E65B0">
        <w:rPr>
          <w:rFonts w:ascii="Verdana" w:hAnsi="Verdana"/>
          <w:b/>
          <w:i/>
          <w:sz w:val="20"/>
          <w:szCs w:val="20"/>
        </w:rPr>
        <w:t>(consigne et support du TP page suivante)</w:t>
      </w:r>
    </w:p>
    <w:p w14:paraId="2A485C1C" w14:textId="77777777" w:rsidR="008E65B0" w:rsidRDefault="008E65B0" w:rsidP="00FE399B">
      <w:pPr>
        <w:spacing w:after="0" w:line="240" w:lineRule="auto"/>
        <w:rPr>
          <w:rFonts w:ascii="Verdana" w:hAnsi="Verdana"/>
          <w:sz w:val="20"/>
          <w:szCs w:val="20"/>
        </w:rPr>
      </w:pPr>
    </w:p>
    <w:p w14:paraId="35025818" w14:textId="77777777" w:rsidR="00C927E7" w:rsidRDefault="00C927E7">
      <w:pPr>
        <w:rPr>
          <w:rFonts w:ascii="Verdana" w:hAnsi="Verdana"/>
          <w:sz w:val="20"/>
          <w:szCs w:val="20"/>
        </w:rPr>
      </w:pPr>
      <w:r>
        <w:rPr>
          <w:rFonts w:ascii="Verdana" w:hAnsi="Verdana"/>
          <w:sz w:val="20"/>
          <w:szCs w:val="20"/>
        </w:rPr>
        <w:br w:type="page"/>
      </w:r>
    </w:p>
    <w:p w14:paraId="35FA53DB" w14:textId="77777777" w:rsidR="001857D3" w:rsidRPr="001857D3" w:rsidRDefault="001857D3" w:rsidP="000F3EA3">
      <w:pPr>
        <w:spacing w:after="0" w:line="240" w:lineRule="auto"/>
        <w:jc w:val="both"/>
        <w:rPr>
          <w:rFonts w:ascii="Verdana" w:hAnsi="Verdana"/>
          <w:b/>
          <w:sz w:val="20"/>
          <w:szCs w:val="20"/>
        </w:rPr>
      </w:pPr>
      <w:r w:rsidRPr="001857D3">
        <w:rPr>
          <w:rFonts w:ascii="Verdana" w:hAnsi="Verdana"/>
          <w:b/>
          <w:sz w:val="20"/>
          <w:szCs w:val="20"/>
        </w:rPr>
        <w:t>Consigne</w:t>
      </w:r>
      <w:r w:rsidR="00C917EC">
        <w:rPr>
          <w:rFonts w:ascii="Verdana" w:hAnsi="Verdana"/>
          <w:b/>
          <w:sz w:val="20"/>
          <w:szCs w:val="20"/>
        </w:rPr>
        <w:t>s</w:t>
      </w:r>
      <w:r w:rsidRPr="001857D3">
        <w:rPr>
          <w:rFonts w:ascii="Verdana" w:hAnsi="Verdana"/>
          <w:b/>
          <w:sz w:val="20"/>
          <w:szCs w:val="20"/>
        </w:rPr>
        <w:t xml:space="preserve"> du TP</w:t>
      </w:r>
    </w:p>
    <w:p w14:paraId="5F6FC8CE" w14:textId="77777777" w:rsidR="00654743" w:rsidRDefault="00654743" w:rsidP="000F3EA3">
      <w:pPr>
        <w:spacing w:after="0" w:line="240" w:lineRule="auto"/>
        <w:jc w:val="both"/>
        <w:rPr>
          <w:rFonts w:ascii="Verdana" w:hAnsi="Verdana"/>
          <w:i/>
          <w:sz w:val="20"/>
          <w:szCs w:val="20"/>
        </w:rPr>
      </w:pPr>
    </w:p>
    <w:p w14:paraId="5E777547" w14:textId="77777777" w:rsidR="00A7280F" w:rsidRDefault="00C917EC" w:rsidP="00654743">
      <w:pPr>
        <w:spacing w:after="60" w:line="240" w:lineRule="auto"/>
        <w:jc w:val="both"/>
        <w:rPr>
          <w:rFonts w:ascii="Verdana" w:hAnsi="Verdana"/>
          <w:i/>
          <w:sz w:val="20"/>
          <w:szCs w:val="20"/>
        </w:rPr>
      </w:pPr>
      <w:r w:rsidRPr="00C917EC">
        <w:rPr>
          <w:rFonts w:ascii="Verdana" w:hAnsi="Verdana"/>
          <w:b/>
          <w:sz w:val="20"/>
          <w:szCs w:val="20"/>
        </w:rPr>
        <w:t>1.</w:t>
      </w:r>
      <w:r>
        <w:rPr>
          <w:rFonts w:ascii="Verdana" w:hAnsi="Verdana"/>
          <w:i/>
          <w:sz w:val="20"/>
          <w:szCs w:val="20"/>
        </w:rPr>
        <w:t xml:space="preserve"> </w:t>
      </w:r>
      <w:r w:rsidR="00BD6FA6">
        <w:rPr>
          <w:rFonts w:ascii="Verdana" w:hAnsi="Verdana"/>
          <w:i/>
          <w:sz w:val="20"/>
          <w:szCs w:val="20"/>
        </w:rPr>
        <w:t>C</w:t>
      </w:r>
      <w:r w:rsidR="00FE399B" w:rsidRPr="001E5D45">
        <w:rPr>
          <w:rFonts w:ascii="Verdana" w:hAnsi="Verdana"/>
          <w:i/>
          <w:sz w:val="20"/>
          <w:szCs w:val="20"/>
        </w:rPr>
        <w:t xml:space="preserve">lassez </w:t>
      </w:r>
      <w:r w:rsidR="00BD6FA6">
        <w:rPr>
          <w:rFonts w:ascii="Verdana" w:hAnsi="Verdana"/>
          <w:i/>
          <w:sz w:val="20"/>
          <w:szCs w:val="20"/>
        </w:rPr>
        <w:t xml:space="preserve">en fonction de cette typologie </w:t>
      </w:r>
      <w:r w:rsidR="00FE399B" w:rsidRPr="001E5D45">
        <w:rPr>
          <w:rFonts w:ascii="Verdana" w:hAnsi="Verdana"/>
          <w:i/>
          <w:sz w:val="20"/>
          <w:szCs w:val="20"/>
        </w:rPr>
        <w:t>les différentes activités suivantes réalisées par un nouveau venu dans une ville</w:t>
      </w:r>
      <w:r w:rsidR="001E3EBA" w:rsidRPr="001E5D45">
        <w:rPr>
          <w:rFonts w:ascii="Verdana" w:hAnsi="Verdana"/>
          <w:i/>
          <w:sz w:val="20"/>
          <w:szCs w:val="20"/>
        </w:rPr>
        <w:t>,</w:t>
      </w:r>
      <w:r w:rsidR="00FE399B" w:rsidRPr="001E5D45">
        <w:rPr>
          <w:rFonts w:ascii="Verdana" w:hAnsi="Verdana"/>
          <w:i/>
          <w:sz w:val="20"/>
          <w:szCs w:val="20"/>
        </w:rPr>
        <w:t xml:space="preserve"> qui </w:t>
      </w:r>
      <w:r w:rsidR="00123B2B" w:rsidRPr="001E5D45">
        <w:rPr>
          <w:rFonts w:ascii="Verdana" w:hAnsi="Verdana"/>
          <w:i/>
          <w:sz w:val="20"/>
          <w:szCs w:val="20"/>
        </w:rPr>
        <w:t xml:space="preserve">a décidé d’organiser </w:t>
      </w:r>
      <w:r w:rsidR="00FE399B" w:rsidRPr="001E5D45">
        <w:rPr>
          <w:rFonts w:ascii="Verdana" w:hAnsi="Verdana"/>
          <w:i/>
          <w:sz w:val="20"/>
          <w:szCs w:val="20"/>
        </w:rPr>
        <w:t>chez lui une soirée</w:t>
      </w:r>
      <w:r w:rsidR="00185CF7" w:rsidRPr="001E5D45">
        <w:rPr>
          <w:rFonts w:ascii="Verdana" w:hAnsi="Verdana"/>
          <w:i/>
          <w:sz w:val="20"/>
          <w:szCs w:val="20"/>
        </w:rPr>
        <w:t xml:space="preserve"> pour se faire des amis parmi ses nouvelles connaissances.</w:t>
      </w:r>
    </w:p>
    <w:p w14:paraId="27DB1AF5" w14:textId="77777777" w:rsidR="00FE399B" w:rsidRPr="00654743" w:rsidRDefault="00FE399B" w:rsidP="000F3EA3">
      <w:pPr>
        <w:spacing w:after="0" w:line="240" w:lineRule="auto"/>
        <w:jc w:val="both"/>
        <w:rPr>
          <w:rFonts w:ascii="Verdana" w:hAnsi="Verdana"/>
          <w:sz w:val="20"/>
          <w:szCs w:val="20"/>
        </w:rPr>
      </w:pPr>
      <w:r w:rsidRPr="00654743">
        <w:rPr>
          <w:rFonts w:ascii="Verdana" w:hAnsi="Verdana"/>
          <w:b/>
          <w:sz w:val="20"/>
          <w:szCs w:val="20"/>
        </w:rPr>
        <w:t>Attention</w:t>
      </w:r>
      <w:r w:rsidRPr="00654743">
        <w:rPr>
          <w:rFonts w:ascii="Verdana" w:hAnsi="Verdana"/>
          <w:sz w:val="20"/>
          <w:szCs w:val="20"/>
        </w:rPr>
        <w:t> : certain</w:t>
      </w:r>
      <w:r w:rsidR="00872132" w:rsidRPr="00654743">
        <w:rPr>
          <w:rFonts w:ascii="Verdana" w:hAnsi="Verdana"/>
          <w:sz w:val="20"/>
          <w:szCs w:val="20"/>
        </w:rPr>
        <w:t>e</w:t>
      </w:r>
      <w:r w:rsidRPr="00654743">
        <w:rPr>
          <w:rFonts w:ascii="Verdana" w:hAnsi="Verdana"/>
          <w:sz w:val="20"/>
          <w:szCs w:val="20"/>
        </w:rPr>
        <w:t xml:space="preserve">s </w:t>
      </w:r>
      <w:r w:rsidR="00872132" w:rsidRPr="00654743">
        <w:rPr>
          <w:rFonts w:ascii="Verdana" w:hAnsi="Verdana"/>
          <w:sz w:val="20"/>
          <w:szCs w:val="20"/>
        </w:rPr>
        <w:t>activités</w:t>
      </w:r>
      <w:r w:rsidRPr="00654743">
        <w:rPr>
          <w:rFonts w:ascii="Verdana" w:hAnsi="Verdana"/>
          <w:sz w:val="20"/>
          <w:szCs w:val="20"/>
        </w:rPr>
        <w:t xml:space="preserve"> peuvent </w:t>
      </w:r>
      <w:r w:rsidR="00872132" w:rsidRPr="00654743">
        <w:rPr>
          <w:rFonts w:ascii="Verdana" w:hAnsi="Verdana"/>
          <w:sz w:val="20"/>
          <w:szCs w:val="20"/>
        </w:rPr>
        <w:t xml:space="preserve">éventuellement </w:t>
      </w:r>
      <w:r w:rsidRPr="00654743">
        <w:rPr>
          <w:rFonts w:ascii="Verdana" w:hAnsi="Verdana"/>
          <w:sz w:val="20"/>
          <w:szCs w:val="20"/>
        </w:rPr>
        <w:t xml:space="preserve">correspondre à </w:t>
      </w:r>
      <w:r w:rsidR="000F3EA3" w:rsidRPr="00654743">
        <w:rPr>
          <w:rFonts w:ascii="Verdana" w:hAnsi="Verdana"/>
          <w:sz w:val="20"/>
          <w:szCs w:val="20"/>
        </w:rPr>
        <w:t>plusieur</w:t>
      </w:r>
      <w:r w:rsidR="00872132" w:rsidRPr="00654743">
        <w:rPr>
          <w:rFonts w:ascii="Verdana" w:hAnsi="Verdana"/>
          <w:sz w:val="20"/>
          <w:szCs w:val="20"/>
        </w:rPr>
        <w:t>s types</w:t>
      </w:r>
      <w:r w:rsidR="001E3EBA" w:rsidRPr="00654743">
        <w:rPr>
          <w:rFonts w:ascii="Verdana" w:hAnsi="Verdana"/>
          <w:sz w:val="20"/>
          <w:szCs w:val="20"/>
        </w:rPr>
        <w:t xml:space="preserve"> différents</w:t>
      </w:r>
      <w:r w:rsidR="00872132" w:rsidRPr="00654743">
        <w:rPr>
          <w:rFonts w:ascii="Verdana" w:hAnsi="Verdana"/>
          <w:sz w:val="20"/>
          <w:szCs w:val="20"/>
        </w:rPr>
        <w:t>, suivant la manière dont elles sont conçues et réalisées.</w:t>
      </w:r>
    </w:p>
    <w:p w14:paraId="1BA5EDA4" w14:textId="77777777" w:rsidR="00FE399B" w:rsidRPr="001E5D45" w:rsidRDefault="00FE399B" w:rsidP="00FE399B">
      <w:pPr>
        <w:spacing w:after="0" w:line="240" w:lineRule="auto"/>
        <w:rPr>
          <w:rFonts w:ascii="Verdana" w:hAnsi="Verdana"/>
          <w:sz w:val="20"/>
          <w:szCs w:val="20"/>
        </w:rPr>
      </w:pPr>
    </w:p>
    <w:tbl>
      <w:tblPr>
        <w:tblStyle w:val="Grilledutableau"/>
        <w:tblW w:w="0" w:type="auto"/>
        <w:tblLook w:val="04A0" w:firstRow="1" w:lastRow="0" w:firstColumn="1" w:lastColumn="0" w:noHBand="0" w:noVBand="1"/>
      </w:tblPr>
      <w:tblGrid>
        <w:gridCol w:w="7633"/>
        <w:gridCol w:w="1995"/>
      </w:tblGrid>
      <w:tr w:rsidR="00FE399B" w:rsidRPr="001E5D45" w14:paraId="654F606F" w14:textId="77777777" w:rsidTr="008D2BB9">
        <w:trPr>
          <w:trHeight w:val="392"/>
        </w:trPr>
        <w:tc>
          <w:tcPr>
            <w:tcW w:w="7763" w:type="dxa"/>
            <w:vAlign w:val="center"/>
          </w:tcPr>
          <w:p w14:paraId="479A6EBD" w14:textId="77777777" w:rsidR="00FE399B" w:rsidRPr="001E5D45" w:rsidRDefault="00FE399B" w:rsidP="008D2BB9">
            <w:pPr>
              <w:jc w:val="center"/>
              <w:rPr>
                <w:rFonts w:ascii="Verdana" w:hAnsi="Verdana"/>
                <w:b/>
                <w:sz w:val="20"/>
                <w:szCs w:val="20"/>
              </w:rPr>
            </w:pPr>
            <w:r w:rsidRPr="001E5D45">
              <w:rPr>
                <w:rFonts w:ascii="Verdana" w:hAnsi="Verdana"/>
                <w:b/>
                <w:sz w:val="20"/>
                <w:szCs w:val="20"/>
              </w:rPr>
              <w:t>ACTIVITÉ(S)</w:t>
            </w:r>
          </w:p>
        </w:tc>
        <w:tc>
          <w:tcPr>
            <w:tcW w:w="2015" w:type="dxa"/>
            <w:vAlign w:val="center"/>
          </w:tcPr>
          <w:p w14:paraId="0A97316A" w14:textId="77777777" w:rsidR="00FE399B" w:rsidRPr="001E5D45" w:rsidRDefault="00872132" w:rsidP="008D2BB9">
            <w:pPr>
              <w:jc w:val="center"/>
              <w:rPr>
                <w:rFonts w:ascii="Verdana" w:hAnsi="Verdana"/>
                <w:b/>
                <w:sz w:val="20"/>
                <w:szCs w:val="20"/>
              </w:rPr>
            </w:pPr>
            <w:r>
              <w:rPr>
                <w:rFonts w:ascii="Verdana" w:hAnsi="Verdana"/>
                <w:b/>
                <w:sz w:val="20"/>
                <w:szCs w:val="20"/>
              </w:rPr>
              <w:t>TYPE(S)</w:t>
            </w:r>
          </w:p>
        </w:tc>
      </w:tr>
      <w:tr w:rsidR="00FE399B" w:rsidRPr="001E5D45" w14:paraId="4BA063A1" w14:textId="77777777" w:rsidTr="008D2BB9">
        <w:tc>
          <w:tcPr>
            <w:tcW w:w="7763" w:type="dxa"/>
          </w:tcPr>
          <w:p w14:paraId="3133739E" w14:textId="77777777" w:rsidR="00FE399B" w:rsidRPr="001E5D45" w:rsidRDefault="003730A5" w:rsidP="0026454D">
            <w:pPr>
              <w:spacing w:after="60"/>
              <w:rPr>
                <w:rFonts w:ascii="Verdana" w:hAnsi="Verdana"/>
                <w:sz w:val="20"/>
                <w:szCs w:val="20"/>
              </w:rPr>
            </w:pPr>
            <w:r w:rsidRPr="001E5D45">
              <w:rPr>
                <w:rFonts w:ascii="Verdana" w:hAnsi="Verdana"/>
                <w:sz w:val="20"/>
                <w:szCs w:val="20"/>
              </w:rPr>
              <w:t xml:space="preserve">1. </w:t>
            </w:r>
            <w:r w:rsidR="00123B2B" w:rsidRPr="001E5D45">
              <w:rPr>
                <w:rFonts w:ascii="Verdana" w:hAnsi="Verdana"/>
                <w:sz w:val="20"/>
                <w:szCs w:val="20"/>
              </w:rPr>
              <w:t>Réaliser</w:t>
            </w:r>
            <w:r w:rsidR="00FE399B" w:rsidRPr="001E5D45">
              <w:rPr>
                <w:rFonts w:ascii="Verdana" w:hAnsi="Verdana"/>
                <w:sz w:val="20"/>
                <w:szCs w:val="20"/>
              </w:rPr>
              <w:t xml:space="preserve"> une soirée</w:t>
            </w:r>
            <w:r w:rsidR="00185CF7" w:rsidRPr="001E5D45">
              <w:rPr>
                <w:rFonts w:ascii="Verdana" w:hAnsi="Verdana"/>
                <w:sz w:val="20"/>
                <w:szCs w:val="20"/>
              </w:rPr>
              <w:t xml:space="preserve"> pour se faire des </w:t>
            </w:r>
            <w:r w:rsidR="00FE399B" w:rsidRPr="001E5D45">
              <w:rPr>
                <w:rFonts w:ascii="Verdana" w:hAnsi="Verdana"/>
                <w:sz w:val="20"/>
                <w:szCs w:val="20"/>
              </w:rPr>
              <w:t>amis</w:t>
            </w:r>
            <w:r w:rsidR="00185CF7" w:rsidRPr="001E5D45">
              <w:rPr>
                <w:rFonts w:ascii="Verdana" w:hAnsi="Verdana"/>
                <w:sz w:val="20"/>
                <w:szCs w:val="20"/>
              </w:rPr>
              <w:t xml:space="preserve"> parmi ses nouvelles connaissances.</w:t>
            </w:r>
          </w:p>
        </w:tc>
        <w:tc>
          <w:tcPr>
            <w:tcW w:w="2015" w:type="dxa"/>
          </w:tcPr>
          <w:p w14:paraId="1DE74074" w14:textId="77777777" w:rsidR="00FE399B" w:rsidRPr="001E5D45" w:rsidRDefault="00FE399B" w:rsidP="00872132">
            <w:pPr>
              <w:jc w:val="center"/>
              <w:rPr>
                <w:rFonts w:ascii="Verdana" w:hAnsi="Verdana"/>
                <w:sz w:val="20"/>
                <w:szCs w:val="20"/>
              </w:rPr>
            </w:pPr>
          </w:p>
        </w:tc>
      </w:tr>
      <w:tr w:rsidR="00FE399B" w:rsidRPr="001E5D45" w14:paraId="752AED9A" w14:textId="77777777" w:rsidTr="008D2BB9">
        <w:tc>
          <w:tcPr>
            <w:tcW w:w="7763" w:type="dxa"/>
          </w:tcPr>
          <w:p w14:paraId="631AE7E2" w14:textId="77777777" w:rsidR="00FE399B" w:rsidRPr="001E5D45" w:rsidRDefault="003730A5" w:rsidP="0026454D">
            <w:pPr>
              <w:spacing w:after="60"/>
              <w:rPr>
                <w:rFonts w:ascii="Verdana" w:hAnsi="Verdana"/>
                <w:sz w:val="20"/>
                <w:szCs w:val="20"/>
              </w:rPr>
            </w:pPr>
            <w:r w:rsidRPr="001E5D45">
              <w:rPr>
                <w:rFonts w:ascii="Verdana" w:hAnsi="Verdana"/>
                <w:sz w:val="20"/>
                <w:szCs w:val="20"/>
              </w:rPr>
              <w:t xml:space="preserve">2. </w:t>
            </w:r>
            <w:r w:rsidR="00FE399B" w:rsidRPr="001E5D45">
              <w:rPr>
                <w:rFonts w:ascii="Verdana" w:hAnsi="Verdana"/>
                <w:sz w:val="20"/>
                <w:szCs w:val="20"/>
              </w:rPr>
              <w:t>Chercher des conseils sur Internet, et sélectionner les plus adéquats à sa situation et à ses objectifs</w:t>
            </w:r>
            <w:r w:rsidR="0016347D" w:rsidRPr="001E5D45">
              <w:rPr>
                <w:rFonts w:ascii="Verdana" w:hAnsi="Verdana"/>
                <w:sz w:val="20"/>
                <w:szCs w:val="20"/>
              </w:rPr>
              <w:t>.</w:t>
            </w:r>
          </w:p>
        </w:tc>
        <w:tc>
          <w:tcPr>
            <w:tcW w:w="2015" w:type="dxa"/>
          </w:tcPr>
          <w:p w14:paraId="1A3EC57C" w14:textId="77777777" w:rsidR="00FE399B" w:rsidRPr="001E5D45" w:rsidRDefault="00FE399B" w:rsidP="00872132">
            <w:pPr>
              <w:jc w:val="center"/>
              <w:rPr>
                <w:rFonts w:ascii="Verdana" w:hAnsi="Verdana"/>
                <w:sz w:val="20"/>
                <w:szCs w:val="20"/>
              </w:rPr>
            </w:pPr>
          </w:p>
        </w:tc>
      </w:tr>
      <w:tr w:rsidR="00FE399B" w:rsidRPr="001E5D45" w14:paraId="1F4FE14D" w14:textId="77777777" w:rsidTr="008D2BB9">
        <w:tc>
          <w:tcPr>
            <w:tcW w:w="7763" w:type="dxa"/>
          </w:tcPr>
          <w:p w14:paraId="0AEA18B2" w14:textId="77777777" w:rsidR="00FE399B" w:rsidRPr="001E5D45" w:rsidRDefault="003730A5" w:rsidP="0026454D">
            <w:pPr>
              <w:spacing w:after="60"/>
              <w:rPr>
                <w:rFonts w:ascii="Verdana" w:hAnsi="Verdana"/>
                <w:sz w:val="20"/>
                <w:szCs w:val="20"/>
              </w:rPr>
            </w:pPr>
            <w:r w:rsidRPr="001E5D45">
              <w:rPr>
                <w:rFonts w:ascii="Verdana" w:hAnsi="Verdana"/>
                <w:sz w:val="20"/>
                <w:szCs w:val="20"/>
              </w:rPr>
              <w:t xml:space="preserve">3. </w:t>
            </w:r>
            <w:r w:rsidR="00FE399B" w:rsidRPr="001E5D45">
              <w:rPr>
                <w:rFonts w:ascii="Verdana" w:hAnsi="Verdana"/>
                <w:sz w:val="20"/>
                <w:szCs w:val="20"/>
              </w:rPr>
              <w:t>Lister, hiérarchiser et classer chronologiquement dans son agenda les tâches à faire</w:t>
            </w:r>
            <w:r w:rsidR="00123B2B" w:rsidRPr="001E5D45">
              <w:rPr>
                <w:rFonts w:ascii="Verdana" w:hAnsi="Verdana"/>
                <w:sz w:val="20"/>
                <w:szCs w:val="20"/>
              </w:rPr>
              <w:t>.</w:t>
            </w:r>
          </w:p>
        </w:tc>
        <w:tc>
          <w:tcPr>
            <w:tcW w:w="2015" w:type="dxa"/>
          </w:tcPr>
          <w:p w14:paraId="51C21FEE" w14:textId="77777777" w:rsidR="00FE399B" w:rsidRPr="001E5D45" w:rsidRDefault="00FE399B" w:rsidP="00872132">
            <w:pPr>
              <w:jc w:val="center"/>
              <w:rPr>
                <w:rFonts w:ascii="Verdana" w:hAnsi="Verdana"/>
                <w:sz w:val="20"/>
                <w:szCs w:val="20"/>
              </w:rPr>
            </w:pPr>
          </w:p>
        </w:tc>
      </w:tr>
      <w:tr w:rsidR="00FE399B" w:rsidRPr="001E5D45" w14:paraId="1F57FE77" w14:textId="77777777" w:rsidTr="008D2BB9">
        <w:tc>
          <w:tcPr>
            <w:tcW w:w="7763" w:type="dxa"/>
          </w:tcPr>
          <w:p w14:paraId="568319C4" w14:textId="77777777" w:rsidR="00FE399B" w:rsidRPr="001E5D45" w:rsidRDefault="003730A5" w:rsidP="0026454D">
            <w:pPr>
              <w:spacing w:after="60"/>
              <w:rPr>
                <w:rFonts w:ascii="Verdana" w:hAnsi="Verdana"/>
                <w:sz w:val="20"/>
                <w:szCs w:val="20"/>
              </w:rPr>
            </w:pPr>
            <w:r w:rsidRPr="001E5D45">
              <w:rPr>
                <w:rFonts w:ascii="Verdana" w:hAnsi="Verdana"/>
                <w:sz w:val="20"/>
                <w:szCs w:val="20"/>
              </w:rPr>
              <w:t xml:space="preserve">4. </w:t>
            </w:r>
            <w:r w:rsidR="00FE399B" w:rsidRPr="001E5D45">
              <w:rPr>
                <w:rFonts w:ascii="Verdana" w:hAnsi="Verdana"/>
                <w:sz w:val="20"/>
                <w:szCs w:val="20"/>
              </w:rPr>
              <w:t>Rédiger un courriel collectif d'invitation.</w:t>
            </w:r>
          </w:p>
        </w:tc>
        <w:tc>
          <w:tcPr>
            <w:tcW w:w="2015" w:type="dxa"/>
          </w:tcPr>
          <w:p w14:paraId="7E806963" w14:textId="77777777" w:rsidR="00FE399B" w:rsidRPr="001E5D45" w:rsidRDefault="00FE399B" w:rsidP="00872132">
            <w:pPr>
              <w:jc w:val="center"/>
              <w:rPr>
                <w:rFonts w:ascii="Verdana" w:hAnsi="Verdana"/>
                <w:sz w:val="20"/>
                <w:szCs w:val="20"/>
              </w:rPr>
            </w:pPr>
          </w:p>
        </w:tc>
      </w:tr>
      <w:tr w:rsidR="001760E2" w:rsidRPr="001E5D45" w14:paraId="36F3EE41" w14:textId="77777777" w:rsidTr="008D2BB9">
        <w:tc>
          <w:tcPr>
            <w:tcW w:w="7763" w:type="dxa"/>
          </w:tcPr>
          <w:p w14:paraId="0DC9ECAE" w14:textId="77777777" w:rsidR="001760E2" w:rsidRPr="001E5D45" w:rsidRDefault="001760E2" w:rsidP="0026454D">
            <w:pPr>
              <w:spacing w:after="60"/>
              <w:rPr>
                <w:rFonts w:ascii="Verdana" w:hAnsi="Verdana"/>
                <w:sz w:val="20"/>
                <w:szCs w:val="20"/>
              </w:rPr>
            </w:pPr>
            <w:r>
              <w:rPr>
                <w:rFonts w:ascii="Verdana" w:hAnsi="Verdana"/>
                <w:sz w:val="20"/>
                <w:szCs w:val="20"/>
              </w:rPr>
              <w:t>5. Envoyer le courriel collectif d’invitation depuis son ordinateur.</w:t>
            </w:r>
          </w:p>
        </w:tc>
        <w:tc>
          <w:tcPr>
            <w:tcW w:w="2015" w:type="dxa"/>
          </w:tcPr>
          <w:p w14:paraId="168993B3" w14:textId="77777777" w:rsidR="001760E2" w:rsidRPr="001E5D45" w:rsidRDefault="001760E2" w:rsidP="00872132">
            <w:pPr>
              <w:jc w:val="center"/>
              <w:rPr>
                <w:rFonts w:ascii="Verdana" w:hAnsi="Verdana"/>
                <w:sz w:val="20"/>
                <w:szCs w:val="20"/>
              </w:rPr>
            </w:pPr>
          </w:p>
        </w:tc>
      </w:tr>
      <w:tr w:rsidR="00FE399B" w:rsidRPr="001E5D45" w14:paraId="68CBC925" w14:textId="77777777" w:rsidTr="008D2BB9">
        <w:tc>
          <w:tcPr>
            <w:tcW w:w="7763" w:type="dxa"/>
          </w:tcPr>
          <w:p w14:paraId="4707FE3E" w14:textId="77777777" w:rsidR="00FE399B" w:rsidRPr="001E5D45" w:rsidRDefault="001760E2" w:rsidP="0026454D">
            <w:pPr>
              <w:spacing w:after="60"/>
              <w:rPr>
                <w:rFonts w:ascii="Verdana" w:hAnsi="Verdana"/>
                <w:sz w:val="20"/>
                <w:szCs w:val="20"/>
              </w:rPr>
            </w:pPr>
            <w:r>
              <w:rPr>
                <w:rFonts w:ascii="Verdana" w:hAnsi="Verdana"/>
                <w:sz w:val="20"/>
                <w:szCs w:val="20"/>
              </w:rPr>
              <w:t>6</w:t>
            </w:r>
            <w:r w:rsidR="003730A5" w:rsidRPr="001E5D45">
              <w:rPr>
                <w:rFonts w:ascii="Verdana" w:hAnsi="Verdana"/>
                <w:sz w:val="20"/>
                <w:szCs w:val="20"/>
              </w:rPr>
              <w:t xml:space="preserve">. </w:t>
            </w:r>
            <w:r w:rsidR="00FE399B" w:rsidRPr="001E5D45">
              <w:rPr>
                <w:rFonts w:ascii="Verdana" w:hAnsi="Verdana"/>
                <w:sz w:val="20"/>
                <w:szCs w:val="20"/>
              </w:rPr>
              <w:t xml:space="preserve">Saluer </w:t>
            </w:r>
            <w:r w:rsidR="003730A5" w:rsidRPr="001E5D45">
              <w:rPr>
                <w:rFonts w:ascii="Verdana" w:hAnsi="Verdana"/>
                <w:sz w:val="20"/>
                <w:szCs w:val="20"/>
              </w:rPr>
              <w:t>chaque invité</w:t>
            </w:r>
            <w:r w:rsidR="00FE399B" w:rsidRPr="001E5D45">
              <w:rPr>
                <w:rFonts w:ascii="Verdana" w:hAnsi="Verdana"/>
                <w:sz w:val="20"/>
                <w:szCs w:val="20"/>
              </w:rPr>
              <w:t xml:space="preserve"> à </w:t>
            </w:r>
            <w:r w:rsidR="003730A5" w:rsidRPr="001E5D45">
              <w:rPr>
                <w:rFonts w:ascii="Verdana" w:hAnsi="Verdana"/>
                <w:sz w:val="20"/>
                <w:szCs w:val="20"/>
              </w:rPr>
              <w:t>son</w:t>
            </w:r>
            <w:r w:rsidR="00FE399B" w:rsidRPr="001E5D45">
              <w:rPr>
                <w:rFonts w:ascii="Verdana" w:hAnsi="Verdana"/>
                <w:sz w:val="20"/>
                <w:szCs w:val="20"/>
              </w:rPr>
              <w:t xml:space="preserve"> arrivée.</w:t>
            </w:r>
          </w:p>
        </w:tc>
        <w:tc>
          <w:tcPr>
            <w:tcW w:w="2015" w:type="dxa"/>
          </w:tcPr>
          <w:p w14:paraId="18B16711" w14:textId="77777777" w:rsidR="00FE399B" w:rsidRPr="001E5D45" w:rsidRDefault="00FE399B" w:rsidP="00872132">
            <w:pPr>
              <w:jc w:val="center"/>
              <w:rPr>
                <w:rFonts w:ascii="Verdana" w:hAnsi="Verdana"/>
                <w:sz w:val="20"/>
                <w:szCs w:val="20"/>
              </w:rPr>
            </w:pPr>
          </w:p>
        </w:tc>
      </w:tr>
      <w:tr w:rsidR="00FE399B" w:rsidRPr="001E5D45" w14:paraId="39728B63" w14:textId="77777777" w:rsidTr="008D2BB9">
        <w:tc>
          <w:tcPr>
            <w:tcW w:w="7763" w:type="dxa"/>
          </w:tcPr>
          <w:p w14:paraId="6CF085B4" w14:textId="77777777" w:rsidR="00FE399B" w:rsidRPr="001E5D45" w:rsidRDefault="001760E2" w:rsidP="0026454D">
            <w:pPr>
              <w:spacing w:after="60"/>
              <w:rPr>
                <w:rFonts w:ascii="Verdana" w:hAnsi="Verdana"/>
                <w:sz w:val="20"/>
                <w:szCs w:val="20"/>
              </w:rPr>
            </w:pPr>
            <w:r>
              <w:rPr>
                <w:rFonts w:ascii="Verdana" w:hAnsi="Verdana"/>
                <w:sz w:val="20"/>
                <w:szCs w:val="20"/>
              </w:rPr>
              <w:t>7</w:t>
            </w:r>
            <w:r w:rsidR="003730A5" w:rsidRPr="001E5D45">
              <w:rPr>
                <w:rFonts w:ascii="Verdana" w:hAnsi="Verdana"/>
                <w:sz w:val="20"/>
                <w:szCs w:val="20"/>
              </w:rPr>
              <w:t xml:space="preserve">. </w:t>
            </w:r>
            <w:r w:rsidR="00FE399B" w:rsidRPr="001E5D45">
              <w:rPr>
                <w:rFonts w:ascii="Verdana" w:hAnsi="Verdana"/>
                <w:sz w:val="20"/>
                <w:szCs w:val="20"/>
              </w:rPr>
              <w:t>Prendre la parole pour remercier les invités, se présenter</w:t>
            </w:r>
          </w:p>
        </w:tc>
        <w:tc>
          <w:tcPr>
            <w:tcW w:w="2015" w:type="dxa"/>
          </w:tcPr>
          <w:p w14:paraId="62462E7E" w14:textId="77777777" w:rsidR="00FE399B" w:rsidRPr="001E5D45" w:rsidRDefault="00FE399B" w:rsidP="00872132">
            <w:pPr>
              <w:jc w:val="center"/>
              <w:rPr>
                <w:rFonts w:ascii="Verdana" w:hAnsi="Verdana"/>
                <w:sz w:val="20"/>
                <w:szCs w:val="20"/>
              </w:rPr>
            </w:pPr>
          </w:p>
        </w:tc>
      </w:tr>
      <w:tr w:rsidR="00FE399B" w:rsidRPr="001E5D45" w14:paraId="4D1EE17E" w14:textId="77777777" w:rsidTr="008D2BB9">
        <w:tc>
          <w:tcPr>
            <w:tcW w:w="7763" w:type="dxa"/>
          </w:tcPr>
          <w:p w14:paraId="7A5A3937" w14:textId="77777777" w:rsidR="00FE399B" w:rsidRPr="001E5D45" w:rsidRDefault="001760E2" w:rsidP="0026454D">
            <w:pPr>
              <w:spacing w:after="60"/>
              <w:rPr>
                <w:rFonts w:ascii="Verdana" w:hAnsi="Verdana"/>
                <w:sz w:val="20"/>
                <w:szCs w:val="20"/>
              </w:rPr>
            </w:pPr>
            <w:r>
              <w:rPr>
                <w:rFonts w:ascii="Verdana" w:hAnsi="Verdana"/>
                <w:sz w:val="20"/>
                <w:szCs w:val="20"/>
              </w:rPr>
              <w:t>8</w:t>
            </w:r>
            <w:r w:rsidR="003730A5" w:rsidRPr="001E5D45">
              <w:rPr>
                <w:rFonts w:ascii="Verdana" w:hAnsi="Verdana"/>
                <w:sz w:val="20"/>
                <w:szCs w:val="20"/>
              </w:rPr>
              <w:t xml:space="preserve">. </w:t>
            </w:r>
            <w:r w:rsidR="00FE399B" w:rsidRPr="001E5D45">
              <w:rPr>
                <w:rFonts w:ascii="Verdana" w:hAnsi="Verdana"/>
                <w:sz w:val="20"/>
                <w:szCs w:val="20"/>
              </w:rPr>
              <w:t>Leur raconter ses premiers mois dans la ville.</w:t>
            </w:r>
          </w:p>
        </w:tc>
        <w:tc>
          <w:tcPr>
            <w:tcW w:w="2015" w:type="dxa"/>
          </w:tcPr>
          <w:p w14:paraId="7251F487" w14:textId="77777777" w:rsidR="00FE399B" w:rsidRPr="001E5D45" w:rsidRDefault="00FE399B" w:rsidP="00872132">
            <w:pPr>
              <w:jc w:val="center"/>
              <w:rPr>
                <w:rFonts w:ascii="Verdana" w:hAnsi="Verdana"/>
                <w:sz w:val="20"/>
                <w:szCs w:val="20"/>
              </w:rPr>
            </w:pPr>
          </w:p>
        </w:tc>
      </w:tr>
      <w:tr w:rsidR="00FE399B" w:rsidRPr="001E5D45" w14:paraId="3C559FCE" w14:textId="77777777" w:rsidTr="008D2BB9">
        <w:tc>
          <w:tcPr>
            <w:tcW w:w="7763" w:type="dxa"/>
          </w:tcPr>
          <w:p w14:paraId="34BD81C1" w14:textId="77777777" w:rsidR="00FE399B" w:rsidRPr="001E5D45" w:rsidRDefault="001760E2" w:rsidP="0026454D">
            <w:pPr>
              <w:spacing w:after="60"/>
              <w:rPr>
                <w:rFonts w:ascii="Verdana" w:hAnsi="Verdana"/>
                <w:sz w:val="20"/>
                <w:szCs w:val="20"/>
              </w:rPr>
            </w:pPr>
            <w:r>
              <w:rPr>
                <w:rFonts w:ascii="Verdana" w:hAnsi="Verdana"/>
                <w:sz w:val="20"/>
                <w:szCs w:val="20"/>
              </w:rPr>
              <w:t>9</w:t>
            </w:r>
            <w:r w:rsidR="003730A5" w:rsidRPr="001E5D45">
              <w:rPr>
                <w:rFonts w:ascii="Verdana" w:hAnsi="Verdana"/>
                <w:sz w:val="20"/>
                <w:szCs w:val="20"/>
              </w:rPr>
              <w:t xml:space="preserve">. </w:t>
            </w:r>
            <w:r w:rsidR="00FE399B" w:rsidRPr="001E5D45">
              <w:rPr>
                <w:rFonts w:ascii="Verdana" w:hAnsi="Verdana"/>
                <w:sz w:val="20"/>
                <w:szCs w:val="20"/>
              </w:rPr>
              <w:t>Les informer des objectifs de son invitation</w:t>
            </w:r>
          </w:p>
        </w:tc>
        <w:tc>
          <w:tcPr>
            <w:tcW w:w="2015" w:type="dxa"/>
          </w:tcPr>
          <w:p w14:paraId="6527A0ED" w14:textId="77777777" w:rsidR="00FE399B" w:rsidRPr="001E5D45" w:rsidRDefault="00FE399B" w:rsidP="00872132">
            <w:pPr>
              <w:jc w:val="center"/>
              <w:rPr>
                <w:rFonts w:ascii="Verdana" w:hAnsi="Verdana"/>
                <w:sz w:val="20"/>
                <w:szCs w:val="20"/>
              </w:rPr>
            </w:pPr>
          </w:p>
        </w:tc>
      </w:tr>
      <w:tr w:rsidR="00FE399B" w:rsidRPr="001E5D45" w14:paraId="2DC9CCF1" w14:textId="77777777" w:rsidTr="008D2BB9">
        <w:tc>
          <w:tcPr>
            <w:tcW w:w="7763" w:type="dxa"/>
          </w:tcPr>
          <w:p w14:paraId="3BE07768" w14:textId="77777777" w:rsidR="00FE399B" w:rsidRPr="001E5D45" w:rsidRDefault="001760E2" w:rsidP="0026454D">
            <w:pPr>
              <w:spacing w:after="60"/>
              <w:rPr>
                <w:rFonts w:ascii="Verdana" w:hAnsi="Verdana"/>
                <w:sz w:val="20"/>
                <w:szCs w:val="20"/>
              </w:rPr>
            </w:pPr>
            <w:r>
              <w:rPr>
                <w:rFonts w:ascii="Verdana" w:hAnsi="Verdana"/>
                <w:sz w:val="20"/>
                <w:szCs w:val="20"/>
              </w:rPr>
              <w:t>10</w:t>
            </w:r>
            <w:r w:rsidR="003730A5" w:rsidRPr="001E5D45">
              <w:rPr>
                <w:rFonts w:ascii="Verdana" w:hAnsi="Verdana"/>
                <w:sz w:val="20"/>
                <w:szCs w:val="20"/>
              </w:rPr>
              <w:t xml:space="preserve">. </w:t>
            </w:r>
            <w:r w:rsidR="00FE399B" w:rsidRPr="001E5D45">
              <w:rPr>
                <w:rFonts w:ascii="Verdana" w:hAnsi="Verdana"/>
                <w:sz w:val="20"/>
                <w:szCs w:val="20"/>
              </w:rPr>
              <w:t xml:space="preserve">Leur souhaiter </w:t>
            </w:r>
            <w:r w:rsidR="00EA183E">
              <w:rPr>
                <w:rFonts w:ascii="Verdana" w:hAnsi="Verdana"/>
                <w:sz w:val="20"/>
                <w:szCs w:val="20"/>
              </w:rPr>
              <w:t xml:space="preserve">de passer </w:t>
            </w:r>
            <w:r w:rsidR="00FE399B" w:rsidRPr="001E5D45">
              <w:rPr>
                <w:rFonts w:ascii="Verdana" w:hAnsi="Verdana"/>
                <w:sz w:val="20"/>
                <w:szCs w:val="20"/>
              </w:rPr>
              <w:t>une bonne soirée</w:t>
            </w:r>
            <w:r w:rsidR="0016347D" w:rsidRPr="001E5D45">
              <w:rPr>
                <w:rFonts w:ascii="Verdana" w:hAnsi="Verdana"/>
                <w:sz w:val="20"/>
                <w:szCs w:val="20"/>
              </w:rPr>
              <w:t>.</w:t>
            </w:r>
          </w:p>
        </w:tc>
        <w:tc>
          <w:tcPr>
            <w:tcW w:w="2015" w:type="dxa"/>
          </w:tcPr>
          <w:p w14:paraId="2D5194E4" w14:textId="77777777" w:rsidR="00FE399B" w:rsidRPr="001E5D45" w:rsidRDefault="00FE399B" w:rsidP="00872132">
            <w:pPr>
              <w:jc w:val="center"/>
              <w:rPr>
                <w:rFonts w:ascii="Verdana" w:hAnsi="Verdana"/>
                <w:sz w:val="20"/>
                <w:szCs w:val="20"/>
              </w:rPr>
            </w:pPr>
          </w:p>
        </w:tc>
      </w:tr>
      <w:tr w:rsidR="00FE399B" w:rsidRPr="001E5D45" w14:paraId="04D29A80" w14:textId="77777777" w:rsidTr="008D2BB9">
        <w:tc>
          <w:tcPr>
            <w:tcW w:w="7763" w:type="dxa"/>
          </w:tcPr>
          <w:p w14:paraId="31C7F26C" w14:textId="77777777" w:rsidR="00FE399B" w:rsidRPr="001E5D45" w:rsidRDefault="001760E2" w:rsidP="0026454D">
            <w:pPr>
              <w:spacing w:after="60"/>
              <w:rPr>
                <w:rFonts w:ascii="Verdana" w:hAnsi="Verdana"/>
                <w:sz w:val="20"/>
                <w:szCs w:val="20"/>
              </w:rPr>
            </w:pPr>
            <w:r>
              <w:rPr>
                <w:rFonts w:ascii="Verdana" w:hAnsi="Verdana"/>
                <w:sz w:val="20"/>
                <w:szCs w:val="20"/>
              </w:rPr>
              <w:t>11</w:t>
            </w:r>
            <w:r w:rsidR="003730A5" w:rsidRPr="001E5D45">
              <w:rPr>
                <w:rFonts w:ascii="Verdana" w:hAnsi="Verdana"/>
                <w:sz w:val="20"/>
                <w:szCs w:val="20"/>
              </w:rPr>
              <w:t xml:space="preserve">. </w:t>
            </w:r>
            <w:r w:rsidR="00FE399B" w:rsidRPr="001E5D45">
              <w:rPr>
                <w:rFonts w:ascii="Verdana" w:hAnsi="Verdana"/>
                <w:sz w:val="20"/>
                <w:szCs w:val="20"/>
              </w:rPr>
              <w:t>Proposer à tous de passer au buffet.</w:t>
            </w:r>
          </w:p>
        </w:tc>
        <w:tc>
          <w:tcPr>
            <w:tcW w:w="2015" w:type="dxa"/>
          </w:tcPr>
          <w:p w14:paraId="5EABEDE7" w14:textId="77777777" w:rsidR="00FE399B" w:rsidRPr="001E5D45" w:rsidRDefault="00FE399B" w:rsidP="00872132">
            <w:pPr>
              <w:jc w:val="center"/>
              <w:rPr>
                <w:rFonts w:ascii="Verdana" w:hAnsi="Verdana"/>
                <w:sz w:val="20"/>
                <w:szCs w:val="20"/>
              </w:rPr>
            </w:pPr>
          </w:p>
        </w:tc>
      </w:tr>
      <w:tr w:rsidR="00FE399B" w:rsidRPr="001E5D45" w14:paraId="040859C1" w14:textId="77777777" w:rsidTr="008D2BB9">
        <w:tc>
          <w:tcPr>
            <w:tcW w:w="7763" w:type="dxa"/>
          </w:tcPr>
          <w:p w14:paraId="1E7DE357" w14:textId="77777777" w:rsidR="00FE399B" w:rsidRPr="001E5D45" w:rsidRDefault="001760E2" w:rsidP="0026454D">
            <w:pPr>
              <w:spacing w:after="60"/>
              <w:rPr>
                <w:rFonts w:ascii="Verdana" w:hAnsi="Verdana"/>
                <w:sz w:val="20"/>
                <w:szCs w:val="20"/>
              </w:rPr>
            </w:pPr>
            <w:r>
              <w:rPr>
                <w:rFonts w:ascii="Verdana" w:hAnsi="Verdana"/>
                <w:sz w:val="20"/>
                <w:szCs w:val="20"/>
              </w:rPr>
              <w:t>12</w:t>
            </w:r>
            <w:r w:rsidR="003730A5" w:rsidRPr="001E5D45">
              <w:rPr>
                <w:rFonts w:ascii="Verdana" w:hAnsi="Verdana"/>
                <w:sz w:val="20"/>
                <w:szCs w:val="20"/>
              </w:rPr>
              <w:t xml:space="preserve">. </w:t>
            </w:r>
            <w:r w:rsidR="00891A1B" w:rsidRPr="001E5D45">
              <w:rPr>
                <w:rFonts w:ascii="Verdana" w:hAnsi="Verdana"/>
                <w:sz w:val="20"/>
                <w:szCs w:val="20"/>
              </w:rPr>
              <w:t>Demander à quelqu’un de vous présenter quelqu’un d’autre.</w:t>
            </w:r>
          </w:p>
        </w:tc>
        <w:tc>
          <w:tcPr>
            <w:tcW w:w="2015" w:type="dxa"/>
          </w:tcPr>
          <w:p w14:paraId="5E8734FB" w14:textId="77777777" w:rsidR="00FE399B" w:rsidRPr="001E5D45" w:rsidRDefault="00FE399B" w:rsidP="00872132">
            <w:pPr>
              <w:jc w:val="center"/>
              <w:rPr>
                <w:rFonts w:ascii="Verdana" w:hAnsi="Verdana"/>
                <w:sz w:val="20"/>
                <w:szCs w:val="20"/>
              </w:rPr>
            </w:pPr>
          </w:p>
        </w:tc>
      </w:tr>
      <w:tr w:rsidR="00FE399B" w:rsidRPr="001E5D45" w14:paraId="07545F46" w14:textId="77777777" w:rsidTr="008D2BB9">
        <w:tc>
          <w:tcPr>
            <w:tcW w:w="7763" w:type="dxa"/>
          </w:tcPr>
          <w:p w14:paraId="4F67E90D" w14:textId="77777777" w:rsidR="00FE399B" w:rsidRPr="001E5D45" w:rsidRDefault="001760E2" w:rsidP="0026454D">
            <w:pPr>
              <w:spacing w:after="60"/>
              <w:rPr>
                <w:rFonts w:ascii="Verdana" w:hAnsi="Verdana"/>
                <w:sz w:val="20"/>
                <w:szCs w:val="20"/>
              </w:rPr>
            </w:pPr>
            <w:r>
              <w:rPr>
                <w:rFonts w:ascii="Verdana" w:hAnsi="Verdana"/>
                <w:sz w:val="20"/>
                <w:szCs w:val="20"/>
              </w:rPr>
              <w:t>13</w:t>
            </w:r>
            <w:r w:rsidR="003730A5" w:rsidRPr="001E5D45">
              <w:rPr>
                <w:rFonts w:ascii="Verdana" w:hAnsi="Verdana"/>
                <w:sz w:val="20"/>
                <w:szCs w:val="20"/>
              </w:rPr>
              <w:t xml:space="preserve">. </w:t>
            </w:r>
            <w:r w:rsidR="00FE399B" w:rsidRPr="001E5D45">
              <w:rPr>
                <w:rFonts w:ascii="Verdana" w:hAnsi="Verdana"/>
                <w:sz w:val="20"/>
                <w:szCs w:val="20"/>
              </w:rPr>
              <w:t xml:space="preserve">Échanger des </w:t>
            </w:r>
            <w:r w:rsidR="00123B2B" w:rsidRPr="001E5D45">
              <w:rPr>
                <w:rFonts w:ascii="Verdana" w:hAnsi="Verdana"/>
                <w:sz w:val="20"/>
                <w:szCs w:val="20"/>
              </w:rPr>
              <w:t>cartes de visite</w:t>
            </w:r>
            <w:r w:rsidR="0016347D" w:rsidRPr="001E5D45">
              <w:rPr>
                <w:rFonts w:ascii="Verdana" w:hAnsi="Verdana"/>
                <w:sz w:val="20"/>
                <w:szCs w:val="20"/>
              </w:rPr>
              <w:t>.</w:t>
            </w:r>
          </w:p>
        </w:tc>
        <w:tc>
          <w:tcPr>
            <w:tcW w:w="2015" w:type="dxa"/>
          </w:tcPr>
          <w:p w14:paraId="60646A71" w14:textId="77777777" w:rsidR="00FE399B" w:rsidRPr="001E5D45" w:rsidRDefault="00FE399B" w:rsidP="00872132">
            <w:pPr>
              <w:jc w:val="center"/>
              <w:rPr>
                <w:rFonts w:ascii="Verdana" w:hAnsi="Verdana"/>
                <w:sz w:val="20"/>
                <w:szCs w:val="20"/>
              </w:rPr>
            </w:pPr>
          </w:p>
        </w:tc>
      </w:tr>
      <w:tr w:rsidR="00FE399B" w:rsidRPr="001E5D45" w14:paraId="40560935" w14:textId="77777777" w:rsidTr="008D2BB9">
        <w:tc>
          <w:tcPr>
            <w:tcW w:w="7763" w:type="dxa"/>
          </w:tcPr>
          <w:p w14:paraId="4AD7BB53" w14:textId="77777777" w:rsidR="00FE399B" w:rsidRPr="001E5D45" w:rsidRDefault="001760E2" w:rsidP="0026454D">
            <w:pPr>
              <w:spacing w:after="60"/>
              <w:rPr>
                <w:rFonts w:ascii="Verdana" w:hAnsi="Verdana"/>
                <w:sz w:val="20"/>
                <w:szCs w:val="20"/>
              </w:rPr>
            </w:pPr>
            <w:r>
              <w:rPr>
                <w:rFonts w:ascii="Verdana" w:hAnsi="Verdana"/>
                <w:sz w:val="20"/>
                <w:szCs w:val="20"/>
              </w:rPr>
              <w:t>14</w:t>
            </w:r>
            <w:r w:rsidR="003730A5" w:rsidRPr="001E5D45">
              <w:rPr>
                <w:rFonts w:ascii="Verdana" w:hAnsi="Verdana"/>
                <w:sz w:val="20"/>
                <w:szCs w:val="20"/>
              </w:rPr>
              <w:t xml:space="preserve">. </w:t>
            </w:r>
            <w:r w:rsidR="00FE399B" w:rsidRPr="001E5D45">
              <w:rPr>
                <w:rFonts w:ascii="Verdana" w:hAnsi="Verdana"/>
                <w:sz w:val="20"/>
                <w:szCs w:val="20"/>
              </w:rPr>
              <w:t>Demander à un nouveau venu de se présenter</w:t>
            </w:r>
            <w:r w:rsidR="0016347D" w:rsidRPr="001E5D45">
              <w:rPr>
                <w:rFonts w:ascii="Verdana" w:hAnsi="Verdana"/>
                <w:sz w:val="20"/>
                <w:szCs w:val="20"/>
              </w:rPr>
              <w:t>.</w:t>
            </w:r>
          </w:p>
        </w:tc>
        <w:tc>
          <w:tcPr>
            <w:tcW w:w="2015" w:type="dxa"/>
          </w:tcPr>
          <w:p w14:paraId="513A3026" w14:textId="77777777" w:rsidR="00FE399B" w:rsidRPr="001E5D45" w:rsidRDefault="00FE399B" w:rsidP="00872132">
            <w:pPr>
              <w:jc w:val="center"/>
              <w:rPr>
                <w:rFonts w:ascii="Verdana" w:hAnsi="Verdana"/>
                <w:sz w:val="20"/>
                <w:szCs w:val="20"/>
              </w:rPr>
            </w:pPr>
          </w:p>
        </w:tc>
      </w:tr>
      <w:tr w:rsidR="00FE399B" w:rsidRPr="001E5D45" w14:paraId="3E67C286" w14:textId="77777777" w:rsidTr="008D2BB9">
        <w:tc>
          <w:tcPr>
            <w:tcW w:w="7763" w:type="dxa"/>
          </w:tcPr>
          <w:p w14:paraId="3FAC0335" w14:textId="77777777" w:rsidR="00FE399B" w:rsidRPr="001E5D45" w:rsidRDefault="001760E2" w:rsidP="0026454D">
            <w:pPr>
              <w:spacing w:after="60"/>
              <w:rPr>
                <w:rFonts w:ascii="Verdana" w:hAnsi="Verdana"/>
                <w:sz w:val="20"/>
                <w:szCs w:val="20"/>
              </w:rPr>
            </w:pPr>
            <w:r>
              <w:rPr>
                <w:rFonts w:ascii="Verdana" w:hAnsi="Verdana"/>
                <w:sz w:val="20"/>
                <w:szCs w:val="20"/>
              </w:rPr>
              <w:t>15</w:t>
            </w:r>
            <w:r w:rsidR="003730A5" w:rsidRPr="001E5D45">
              <w:rPr>
                <w:rFonts w:ascii="Verdana" w:hAnsi="Verdana"/>
                <w:sz w:val="20"/>
                <w:szCs w:val="20"/>
              </w:rPr>
              <w:t xml:space="preserve">. </w:t>
            </w:r>
            <w:r w:rsidR="00FE399B" w:rsidRPr="001E5D45">
              <w:rPr>
                <w:rFonts w:ascii="Verdana" w:hAnsi="Verdana"/>
                <w:sz w:val="20"/>
                <w:szCs w:val="20"/>
              </w:rPr>
              <w:t>Mettre deux personnes en contact l'une avec l'autre</w:t>
            </w:r>
            <w:r w:rsidR="0016347D" w:rsidRPr="001E5D45">
              <w:rPr>
                <w:rFonts w:ascii="Verdana" w:hAnsi="Verdana"/>
                <w:sz w:val="20"/>
                <w:szCs w:val="20"/>
              </w:rPr>
              <w:t>.</w:t>
            </w:r>
          </w:p>
        </w:tc>
        <w:tc>
          <w:tcPr>
            <w:tcW w:w="2015" w:type="dxa"/>
          </w:tcPr>
          <w:p w14:paraId="4503D0A2" w14:textId="77777777" w:rsidR="00FE399B" w:rsidRPr="001E5D45" w:rsidRDefault="00FE399B" w:rsidP="00872132">
            <w:pPr>
              <w:jc w:val="center"/>
              <w:rPr>
                <w:rFonts w:ascii="Verdana" w:hAnsi="Verdana"/>
                <w:sz w:val="20"/>
                <w:szCs w:val="20"/>
              </w:rPr>
            </w:pPr>
          </w:p>
        </w:tc>
      </w:tr>
      <w:tr w:rsidR="00FE399B" w:rsidRPr="001E5D45" w14:paraId="0F138752" w14:textId="77777777" w:rsidTr="008D2BB9">
        <w:tc>
          <w:tcPr>
            <w:tcW w:w="7763" w:type="dxa"/>
          </w:tcPr>
          <w:p w14:paraId="2D9E6932" w14:textId="77777777" w:rsidR="00FE399B" w:rsidRPr="001E5D45" w:rsidRDefault="001760E2" w:rsidP="0026454D">
            <w:pPr>
              <w:spacing w:after="60"/>
              <w:rPr>
                <w:rFonts w:ascii="Verdana" w:hAnsi="Verdana"/>
                <w:sz w:val="20"/>
                <w:szCs w:val="20"/>
              </w:rPr>
            </w:pPr>
            <w:r>
              <w:rPr>
                <w:rFonts w:ascii="Verdana" w:hAnsi="Verdana"/>
                <w:sz w:val="20"/>
                <w:szCs w:val="20"/>
              </w:rPr>
              <w:t>16</w:t>
            </w:r>
            <w:r w:rsidR="003730A5" w:rsidRPr="001E5D45">
              <w:rPr>
                <w:rFonts w:ascii="Verdana" w:hAnsi="Verdana"/>
                <w:sz w:val="20"/>
                <w:szCs w:val="20"/>
              </w:rPr>
              <w:t xml:space="preserve">. </w:t>
            </w:r>
            <w:r w:rsidR="00FE399B" w:rsidRPr="001E5D45">
              <w:rPr>
                <w:rFonts w:ascii="Verdana" w:hAnsi="Verdana"/>
                <w:sz w:val="20"/>
                <w:szCs w:val="20"/>
              </w:rPr>
              <w:t>Traduire un échange du français vers l'anglais, et l'inverse, pour aider deux invités à faire connaissance</w:t>
            </w:r>
            <w:r w:rsidR="0016347D" w:rsidRPr="001E5D45">
              <w:rPr>
                <w:rFonts w:ascii="Verdana" w:hAnsi="Verdana"/>
                <w:sz w:val="20"/>
                <w:szCs w:val="20"/>
              </w:rPr>
              <w:t>.</w:t>
            </w:r>
          </w:p>
        </w:tc>
        <w:tc>
          <w:tcPr>
            <w:tcW w:w="2015" w:type="dxa"/>
          </w:tcPr>
          <w:p w14:paraId="313666D3" w14:textId="77777777" w:rsidR="00FE399B" w:rsidRPr="001E5D45" w:rsidRDefault="00FE399B" w:rsidP="00872132">
            <w:pPr>
              <w:jc w:val="center"/>
              <w:rPr>
                <w:rFonts w:ascii="Verdana" w:hAnsi="Verdana"/>
                <w:sz w:val="20"/>
                <w:szCs w:val="20"/>
              </w:rPr>
            </w:pPr>
          </w:p>
        </w:tc>
      </w:tr>
      <w:tr w:rsidR="00FE399B" w:rsidRPr="001E5D45" w14:paraId="48C2BE4B" w14:textId="77777777" w:rsidTr="008D2BB9">
        <w:tc>
          <w:tcPr>
            <w:tcW w:w="7763" w:type="dxa"/>
          </w:tcPr>
          <w:p w14:paraId="7B3B0005" w14:textId="77777777" w:rsidR="00FE399B" w:rsidRPr="001E5D45" w:rsidRDefault="001760E2" w:rsidP="0026454D">
            <w:pPr>
              <w:spacing w:after="60"/>
              <w:rPr>
                <w:rFonts w:ascii="Verdana" w:hAnsi="Verdana"/>
                <w:sz w:val="20"/>
                <w:szCs w:val="20"/>
              </w:rPr>
            </w:pPr>
            <w:r>
              <w:rPr>
                <w:rFonts w:ascii="Verdana" w:hAnsi="Verdana"/>
                <w:sz w:val="20"/>
                <w:szCs w:val="20"/>
              </w:rPr>
              <w:t>17</w:t>
            </w:r>
            <w:r w:rsidR="003730A5" w:rsidRPr="001E5D45">
              <w:rPr>
                <w:rFonts w:ascii="Verdana" w:hAnsi="Verdana"/>
                <w:sz w:val="20"/>
                <w:szCs w:val="20"/>
              </w:rPr>
              <w:t xml:space="preserve">. </w:t>
            </w:r>
            <w:r w:rsidR="00FE399B" w:rsidRPr="001E5D45">
              <w:rPr>
                <w:rFonts w:ascii="Verdana" w:hAnsi="Verdana"/>
                <w:sz w:val="20"/>
                <w:szCs w:val="20"/>
              </w:rPr>
              <w:t>Saluer et remercier les invités qui prennent congé.</w:t>
            </w:r>
          </w:p>
        </w:tc>
        <w:tc>
          <w:tcPr>
            <w:tcW w:w="2015" w:type="dxa"/>
          </w:tcPr>
          <w:p w14:paraId="217CB89A" w14:textId="77777777" w:rsidR="00FE399B" w:rsidRPr="001E5D45" w:rsidRDefault="00FE399B" w:rsidP="00872132">
            <w:pPr>
              <w:jc w:val="center"/>
              <w:rPr>
                <w:rFonts w:ascii="Verdana" w:hAnsi="Verdana"/>
                <w:sz w:val="20"/>
                <w:szCs w:val="20"/>
              </w:rPr>
            </w:pPr>
          </w:p>
        </w:tc>
      </w:tr>
      <w:tr w:rsidR="00FE399B" w:rsidRPr="001E5D45" w14:paraId="135BCC54" w14:textId="77777777" w:rsidTr="008D2BB9">
        <w:tc>
          <w:tcPr>
            <w:tcW w:w="7763" w:type="dxa"/>
          </w:tcPr>
          <w:p w14:paraId="720B0E9F" w14:textId="77777777" w:rsidR="00FE399B" w:rsidRPr="001E5D45" w:rsidRDefault="001760E2" w:rsidP="0026454D">
            <w:pPr>
              <w:spacing w:after="60"/>
              <w:rPr>
                <w:rFonts w:ascii="Verdana" w:hAnsi="Verdana"/>
                <w:sz w:val="20"/>
                <w:szCs w:val="20"/>
              </w:rPr>
            </w:pPr>
            <w:r>
              <w:rPr>
                <w:rFonts w:ascii="Verdana" w:hAnsi="Verdana"/>
                <w:sz w:val="20"/>
                <w:szCs w:val="20"/>
              </w:rPr>
              <w:t>18</w:t>
            </w:r>
            <w:r w:rsidR="003730A5" w:rsidRPr="001E5D45">
              <w:rPr>
                <w:rFonts w:ascii="Verdana" w:hAnsi="Verdana"/>
                <w:sz w:val="20"/>
                <w:szCs w:val="20"/>
              </w:rPr>
              <w:t xml:space="preserve">. </w:t>
            </w:r>
            <w:r w:rsidR="00FE399B" w:rsidRPr="001E5D45">
              <w:rPr>
                <w:rFonts w:ascii="Verdana" w:hAnsi="Verdana"/>
                <w:sz w:val="20"/>
                <w:szCs w:val="20"/>
              </w:rPr>
              <w:t>Écrire un courriel à un ami pour lui raconter la soirée et lui suggérer de lancer le même type d'invitation.</w:t>
            </w:r>
          </w:p>
        </w:tc>
        <w:tc>
          <w:tcPr>
            <w:tcW w:w="2015" w:type="dxa"/>
          </w:tcPr>
          <w:p w14:paraId="2D3CDFA0" w14:textId="77777777" w:rsidR="00FE399B" w:rsidRPr="001E5D45" w:rsidRDefault="00FE399B" w:rsidP="00872132">
            <w:pPr>
              <w:jc w:val="center"/>
              <w:rPr>
                <w:rFonts w:ascii="Verdana" w:hAnsi="Verdana"/>
                <w:sz w:val="20"/>
                <w:szCs w:val="20"/>
              </w:rPr>
            </w:pPr>
          </w:p>
        </w:tc>
      </w:tr>
    </w:tbl>
    <w:p w14:paraId="43BA65C4" w14:textId="77777777" w:rsidR="000F3EA3" w:rsidRDefault="000F3EA3" w:rsidP="00B42199">
      <w:pPr>
        <w:spacing w:after="0" w:line="240" w:lineRule="auto"/>
        <w:rPr>
          <w:rFonts w:ascii="Verdana" w:hAnsi="Verdana"/>
          <w:sz w:val="20"/>
          <w:szCs w:val="20"/>
        </w:rPr>
      </w:pPr>
    </w:p>
    <w:p w14:paraId="60DEF355" w14:textId="77777777" w:rsidR="00654743" w:rsidRPr="00C917EC" w:rsidRDefault="00C917EC" w:rsidP="00C917EC">
      <w:pPr>
        <w:spacing w:after="0" w:line="240" w:lineRule="auto"/>
        <w:jc w:val="both"/>
        <w:rPr>
          <w:rFonts w:ascii="Verdana" w:hAnsi="Verdana"/>
          <w:i/>
          <w:sz w:val="20"/>
          <w:szCs w:val="20"/>
        </w:rPr>
      </w:pPr>
      <w:r>
        <w:rPr>
          <w:rFonts w:ascii="Verdana" w:hAnsi="Verdana"/>
          <w:sz w:val="20"/>
          <w:szCs w:val="20"/>
        </w:rPr>
        <w:t xml:space="preserve">2. </w:t>
      </w:r>
      <w:r w:rsidRPr="00C917EC">
        <w:rPr>
          <w:rFonts w:ascii="Verdana" w:hAnsi="Verdana"/>
          <w:i/>
          <w:sz w:val="20"/>
          <w:szCs w:val="20"/>
        </w:rPr>
        <w:t>En fonction des réflexions que vous a inspiré ce travail, reprenez les descriptions proposées pour les différents « niveaux d’agir » dans le premier tableau pour les discuter, les préciser et les modifier si cela vous paraît nécessaire.</w:t>
      </w:r>
    </w:p>
    <w:p w14:paraId="6429E9A1" w14:textId="77777777" w:rsidR="00C917EC" w:rsidRDefault="00C917EC" w:rsidP="00B42199">
      <w:pPr>
        <w:spacing w:after="0" w:line="240" w:lineRule="auto"/>
        <w:rPr>
          <w:rFonts w:ascii="Verdana" w:hAnsi="Verdana"/>
          <w:sz w:val="20"/>
          <w:szCs w:val="20"/>
        </w:rPr>
      </w:pPr>
    </w:p>
    <w:p w14:paraId="36F4B8F4" w14:textId="77777777" w:rsidR="001A5474" w:rsidRPr="001A5474" w:rsidRDefault="001A5474" w:rsidP="001A5474">
      <w:pPr>
        <w:spacing w:after="0" w:line="240" w:lineRule="auto"/>
        <w:jc w:val="center"/>
        <w:rPr>
          <w:rFonts w:ascii="Verdana" w:hAnsi="Verdana"/>
          <w:b/>
          <w:sz w:val="20"/>
          <w:szCs w:val="20"/>
        </w:rPr>
      </w:pPr>
      <w:r w:rsidRPr="001A5474">
        <w:rPr>
          <w:rFonts w:ascii="Verdana" w:hAnsi="Verdana"/>
          <w:b/>
          <w:sz w:val="20"/>
          <w:szCs w:val="20"/>
        </w:rPr>
        <w:t>------------------</w:t>
      </w:r>
    </w:p>
    <w:p w14:paraId="65683EF5" w14:textId="77777777" w:rsidR="00654743" w:rsidRDefault="00654743" w:rsidP="00B42199">
      <w:pPr>
        <w:spacing w:after="0" w:line="240" w:lineRule="auto"/>
        <w:rPr>
          <w:rFonts w:ascii="Verdana" w:hAnsi="Verdana"/>
          <w:sz w:val="20"/>
          <w:szCs w:val="20"/>
        </w:rPr>
      </w:pPr>
    </w:p>
    <w:p w14:paraId="6B44206E" w14:textId="77777777" w:rsidR="002973C2" w:rsidRPr="005918D2" w:rsidRDefault="00654743" w:rsidP="00654743">
      <w:pPr>
        <w:spacing w:after="0" w:line="240" w:lineRule="auto"/>
        <w:jc w:val="center"/>
        <w:rPr>
          <w:rFonts w:ascii="Verdana" w:hAnsi="Verdana"/>
          <w:sz w:val="20"/>
          <w:szCs w:val="20"/>
        </w:rPr>
      </w:pPr>
      <w:r w:rsidRPr="005918D2">
        <w:rPr>
          <w:rFonts w:ascii="Verdana" w:hAnsi="Verdana"/>
          <w:sz w:val="20"/>
          <w:szCs w:val="20"/>
        </w:rPr>
        <w:t xml:space="preserve">Corrigé à la même adresse </w:t>
      </w:r>
      <w:hyperlink r:id="rId16" w:history="1">
        <w:r w:rsidR="002973C2" w:rsidRPr="005918D2">
          <w:rPr>
            <w:rStyle w:val="Lienhypertexte"/>
            <w:rFonts w:ascii="Verdana" w:hAnsi="Verdana"/>
            <w:sz w:val="20"/>
            <w:szCs w:val="20"/>
          </w:rPr>
          <w:t>www.christianpuren.com/bibliothèque-de-travail/054/</w:t>
        </w:r>
      </w:hyperlink>
    </w:p>
    <w:sectPr w:rsidR="002973C2" w:rsidRPr="005918D2" w:rsidSect="0016347D">
      <w:footerReference w:type="default" r:id="rId17"/>
      <w:pgSz w:w="11906" w:h="16838"/>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B7398" w14:textId="77777777" w:rsidR="000236E7" w:rsidRDefault="000236E7" w:rsidP="00341E79">
      <w:pPr>
        <w:spacing w:after="0" w:line="240" w:lineRule="auto"/>
      </w:pPr>
      <w:r>
        <w:separator/>
      </w:r>
    </w:p>
  </w:endnote>
  <w:endnote w:type="continuationSeparator" w:id="0">
    <w:p w14:paraId="7D9FBB0F" w14:textId="77777777" w:rsidR="000236E7" w:rsidRDefault="000236E7" w:rsidP="00341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5FDD0" w14:textId="77777777" w:rsidR="008D2BB9" w:rsidRPr="00B42199" w:rsidRDefault="008D2BB9" w:rsidP="00B42199">
    <w:pPr>
      <w:pStyle w:val="Pieddepage"/>
      <w:jc w:val="center"/>
      <w:rPr>
        <w:rFonts w:ascii="Verdana" w:hAnsi="Verdana"/>
        <w:sz w:val="18"/>
        <w:szCs w:val="18"/>
      </w:rPr>
    </w:pPr>
  </w:p>
  <w:p w14:paraId="7546EA21" w14:textId="77777777" w:rsidR="008D2BB9" w:rsidRPr="008E65B0" w:rsidRDefault="000236E7" w:rsidP="008E65B0">
    <w:pPr>
      <w:pStyle w:val="Pieddepage"/>
      <w:rPr>
        <w:rFonts w:ascii="Verdana" w:hAnsi="Verdana"/>
        <w:sz w:val="18"/>
        <w:szCs w:val="18"/>
      </w:rPr>
    </w:pPr>
    <w:hyperlink r:id="rId1" w:history="1">
      <w:r w:rsidR="008D2BB9" w:rsidRPr="006F61EC">
        <w:rPr>
          <w:rStyle w:val="Lienhypertexte"/>
          <w:rFonts w:ascii="Verdana" w:hAnsi="Verdana"/>
          <w:sz w:val="18"/>
          <w:szCs w:val="18"/>
        </w:rPr>
        <w:t>www.christianpuren.com/bibliothèque-de-travail/054/</w:t>
      </w:r>
    </w:hyperlink>
    <w:r w:rsidR="005918D2">
      <w:rPr>
        <w:rFonts w:ascii="Verdana" w:hAnsi="Verdana"/>
        <w:sz w:val="18"/>
        <w:szCs w:val="18"/>
      </w:rPr>
      <w:t xml:space="preserve"> (septembre 2016</w:t>
    </w:r>
    <w:r w:rsidR="008D2BB9" w:rsidRPr="008E65B0">
      <w:rPr>
        <w:rFonts w:ascii="Verdana" w:hAnsi="Verdana"/>
        <w:sz w:val="18"/>
        <w:szCs w:val="18"/>
      </w:rPr>
      <w:t>)</w:t>
    </w:r>
    <w:r w:rsidR="008D2BB9" w:rsidRPr="008E65B0">
      <w:rPr>
        <w:rFonts w:ascii="Verdana" w:hAnsi="Verdana"/>
        <w:sz w:val="18"/>
        <w:szCs w:val="18"/>
      </w:rPr>
      <w:ptab w:relativeTo="margin" w:alignment="right" w:leader="none"/>
    </w:r>
    <w:r w:rsidR="008D2BB9" w:rsidRPr="008E65B0">
      <w:rPr>
        <w:rFonts w:ascii="Verdana" w:hAnsi="Verdana"/>
        <w:sz w:val="18"/>
        <w:szCs w:val="18"/>
      </w:rPr>
      <w:t xml:space="preserve">Page </w:t>
    </w:r>
    <w:r w:rsidR="008D2BB9" w:rsidRPr="008E65B0">
      <w:rPr>
        <w:rFonts w:ascii="Verdana" w:hAnsi="Verdana"/>
        <w:bCs/>
        <w:sz w:val="18"/>
        <w:szCs w:val="18"/>
      </w:rPr>
      <w:fldChar w:fldCharType="begin"/>
    </w:r>
    <w:r w:rsidR="008D2BB9" w:rsidRPr="008E65B0">
      <w:rPr>
        <w:rFonts w:ascii="Verdana" w:hAnsi="Verdana"/>
        <w:bCs/>
        <w:sz w:val="18"/>
        <w:szCs w:val="18"/>
      </w:rPr>
      <w:instrText>PAGE  \* Arabic  \* MERGEFORMAT</w:instrText>
    </w:r>
    <w:r w:rsidR="008D2BB9" w:rsidRPr="008E65B0">
      <w:rPr>
        <w:rFonts w:ascii="Verdana" w:hAnsi="Verdana"/>
        <w:bCs/>
        <w:sz w:val="18"/>
        <w:szCs w:val="18"/>
      </w:rPr>
      <w:fldChar w:fldCharType="separate"/>
    </w:r>
    <w:r w:rsidR="007E2831">
      <w:rPr>
        <w:rFonts w:ascii="Verdana" w:hAnsi="Verdana"/>
        <w:bCs/>
        <w:noProof/>
        <w:sz w:val="18"/>
        <w:szCs w:val="18"/>
      </w:rPr>
      <w:t>4</w:t>
    </w:r>
    <w:r w:rsidR="008D2BB9" w:rsidRPr="008E65B0">
      <w:rPr>
        <w:rFonts w:ascii="Verdana" w:hAnsi="Verdana"/>
        <w:bCs/>
        <w:sz w:val="18"/>
        <w:szCs w:val="18"/>
      </w:rPr>
      <w:fldChar w:fldCharType="end"/>
    </w:r>
    <w:r w:rsidR="008D2BB9" w:rsidRPr="008E65B0">
      <w:rPr>
        <w:rFonts w:ascii="Verdana" w:hAnsi="Verdana"/>
        <w:sz w:val="18"/>
        <w:szCs w:val="18"/>
      </w:rPr>
      <w:t xml:space="preserve"> sur </w:t>
    </w:r>
    <w:r w:rsidR="008D2BB9" w:rsidRPr="008E65B0">
      <w:rPr>
        <w:rFonts w:ascii="Verdana" w:hAnsi="Verdana"/>
        <w:bCs/>
        <w:sz w:val="18"/>
        <w:szCs w:val="18"/>
      </w:rPr>
      <w:fldChar w:fldCharType="begin"/>
    </w:r>
    <w:r w:rsidR="008D2BB9" w:rsidRPr="008E65B0">
      <w:rPr>
        <w:rFonts w:ascii="Verdana" w:hAnsi="Verdana"/>
        <w:bCs/>
        <w:sz w:val="18"/>
        <w:szCs w:val="18"/>
      </w:rPr>
      <w:instrText>NUMPAGES  \* Arabic  \* MERGEFORMAT</w:instrText>
    </w:r>
    <w:r w:rsidR="008D2BB9" w:rsidRPr="008E65B0">
      <w:rPr>
        <w:rFonts w:ascii="Verdana" w:hAnsi="Verdana"/>
        <w:bCs/>
        <w:sz w:val="18"/>
        <w:szCs w:val="18"/>
      </w:rPr>
      <w:fldChar w:fldCharType="separate"/>
    </w:r>
    <w:r w:rsidR="007E2831">
      <w:rPr>
        <w:rFonts w:ascii="Verdana" w:hAnsi="Verdana"/>
        <w:bCs/>
        <w:noProof/>
        <w:sz w:val="18"/>
        <w:szCs w:val="18"/>
      </w:rPr>
      <w:t>4</w:t>
    </w:r>
    <w:r w:rsidR="008D2BB9" w:rsidRPr="008E65B0">
      <w:rPr>
        <w:rFonts w:ascii="Verdana" w:hAnsi="Verdana"/>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5ADDA" w14:textId="77777777" w:rsidR="000236E7" w:rsidRDefault="000236E7" w:rsidP="00341E79">
      <w:pPr>
        <w:spacing w:after="0" w:line="240" w:lineRule="auto"/>
      </w:pPr>
      <w:r>
        <w:separator/>
      </w:r>
    </w:p>
  </w:footnote>
  <w:footnote w:type="continuationSeparator" w:id="0">
    <w:p w14:paraId="60C609A0" w14:textId="77777777" w:rsidR="000236E7" w:rsidRDefault="000236E7" w:rsidP="00341E79">
      <w:pPr>
        <w:spacing w:after="0" w:line="240" w:lineRule="auto"/>
      </w:pPr>
      <w:r>
        <w:continuationSeparator/>
      </w:r>
    </w:p>
  </w:footnote>
  <w:footnote w:id="1">
    <w:p w14:paraId="21BA5FED" w14:textId="77777777" w:rsidR="008D2BB9" w:rsidRPr="00963AC3" w:rsidRDefault="008D2BB9" w:rsidP="00963AC3">
      <w:pPr>
        <w:pStyle w:val="Notedebasdepage"/>
        <w:jc w:val="both"/>
        <w:rPr>
          <w:rFonts w:ascii="Verdana" w:hAnsi="Verdana"/>
          <w:sz w:val="18"/>
          <w:szCs w:val="18"/>
        </w:rPr>
      </w:pPr>
      <w:r w:rsidRPr="00963AC3">
        <w:rPr>
          <w:rStyle w:val="Appelnotedebasdep"/>
          <w:rFonts w:ascii="Verdana" w:hAnsi="Verdana"/>
          <w:sz w:val="18"/>
          <w:szCs w:val="18"/>
        </w:rPr>
        <w:footnoteRef/>
      </w:r>
      <w:r w:rsidRPr="00963AC3">
        <w:rPr>
          <w:rFonts w:ascii="Verdana" w:hAnsi="Verdana"/>
          <w:sz w:val="18"/>
          <w:szCs w:val="18"/>
        </w:rPr>
        <w:t xml:space="preserve"> TARDIF Jacques, </w:t>
      </w:r>
      <w:r w:rsidRPr="00963AC3">
        <w:rPr>
          <w:rFonts w:ascii="Verdana" w:hAnsi="Verdana"/>
          <w:i/>
          <w:sz w:val="18"/>
          <w:szCs w:val="18"/>
        </w:rPr>
        <w:t>L'évaluation des compétences. Documenter le parcours de développement</w:t>
      </w:r>
      <w:r w:rsidRPr="00963AC3">
        <w:rPr>
          <w:rFonts w:ascii="Verdana" w:hAnsi="Verdana"/>
          <w:sz w:val="18"/>
          <w:szCs w:val="18"/>
        </w:rPr>
        <w:t xml:space="preserve">, Montréal [Québec] : Chenelière Éducation, 2006, 363 p. </w:t>
      </w:r>
    </w:p>
  </w:footnote>
  <w:footnote w:id="2">
    <w:p w14:paraId="05FED7A6" w14:textId="77777777" w:rsidR="008D2BB9" w:rsidRPr="00963AC3" w:rsidRDefault="008D2BB9" w:rsidP="00963AC3">
      <w:pPr>
        <w:pStyle w:val="Notedebasdepage"/>
        <w:jc w:val="both"/>
        <w:rPr>
          <w:rFonts w:ascii="Verdana" w:hAnsi="Verdana"/>
          <w:sz w:val="18"/>
          <w:szCs w:val="18"/>
        </w:rPr>
      </w:pPr>
      <w:r w:rsidRPr="00963AC3">
        <w:rPr>
          <w:rStyle w:val="Appelnotedebasdep"/>
          <w:rFonts w:ascii="Verdana" w:hAnsi="Verdana"/>
          <w:sz w:val="18"/>
          <w:szCs w:val="18"/>
        </w:rPr>
        <w:footnoteRef/>
      </w:r>
      <w:r w:rsidRPr="00963AC3">
        <w:rPr>
          <w:rFonts w:ascii="Verdana" w:hAnsi="Verdana"/>
          <w:sz w:val="18"/>
          <w:szCs w:val="18"/>
        </w:rPr>
        <w:t xml:space="preserve"> Sur ce concept peu fréquent, mais préférable à celui, fort discutable, de « savoir-être », cf., dans cet ouvrage </w:t>
      </w:r>
      <w:hyperlink r:id="rId1" w:history="1">
        <w:r w:rsidRPr="00963AC3">
          <w:rPr>
            <w:rStyle w:val="Lienhypertexte"/>
            <w:rFonts w:ascii="Verdana" w:hAnsi="Verdana"/>
            <w:sz w:val="18"/>
            <w:szCs w:val="18"/>
          </w:rPr>
          <w:t>PUREN 2016g</w:t>
        </w:r>
      </w:hyperlink>
      <w:r w:rsidRPr="00963AC3">
        <w:rPr>
          <w:rFonts w:ascii="Verdana" w:hAnsi="Verdana"/>
          <w:sz w:val="18"/>
          <w:szCs w:val="18"/>
        </w:rPr>
        <w:t>, le chap. 3.2.4.4 « Savoir-être » et « savoir-y-faire », pp. 67-70.</w:t>
      </w:r>
    </w:p>
  </w:footnote>
  <w:footnote w:id="3">
    <w:p w14:paraId="1CA3B8E6" w14:textId="77777777" w:rsidR="008D2BB9" w:rsidRPr="00963AC3" w:rsidRDefault="008D2BB9" w:rsidP="00963AC3">
      <w:pPr>
        <w:pStyle w:val="Notedebasdepage"/>
        <w:jc w:val="both"/>
        <w:rPr>
          <w:rFonts w:ascii="Verdana" w:hAnsi="Verdana"/>
          <w:sz w:val="18"/>
          <w:szCs w:val="18"/>
        </w:rPr>
      </w:pPr>
      <w:r w:rsidRPr="00963AC3">
        <w:rPr>
          <w:rStyle w:val="Appelnotedebasdep"/>
          <w:rFonts w:ascii="Verdana" w:hAnsi="Verdana"/>
          <w:sz w:val="18"/>
          <w:szCs w:val="18"/>
        </w:rPr>
        <w:footnoteRef/>
      </w:r>
      <w:r w:rsidRPr="00963AC3">
        <w:rPr>
          <w:rFonts w:ascii="Verdana" w:hAnsi="Verdana"/>
          <w:sz w:val="18"/>
          <w:szCs w:val="18"/>
        </w:rPr>
        <w:t xml:space="preserve"> Cf. </w:t>
      </w:r>
      <w:hyperlink r:id="rId2" w:history="1">
        <w:r w:rsidRPr="00963AC3">
          <w:rPr>
            <w:rStyle w:val="Lienhypertexte"/>
            <w:rFonts w:ascii="Verdana" w:hAnsi="Verdana"/>
            <w:sz w:val="18"/>
            <w:szCs w:val="18"/>
          </w:rPr>
          <w:t>PUREN 2016g</w:t>
        </w:r>
      </w:hyperlink>
      <w:r w:rsidRPr="00963AC3">
        <w:rPr>
          <w:rFonts w:ascii="Verdana" w:hAnsi="Verdana"/>
          <w:sz w:val="18"/>
          <w:szCs w:val="18"/>
        </w:rPr>
        <w:t>, chap. 3.2.4.3 « Savoir-apprendre », pp. 64-66.</w:t>
      </w:r>
    </w:p>
  </w:footnote>
  <w:footnote w:id="4">
    <w:p w14:paraId="20BC4726" w14:textId="77777777" w:rsidR="008D2BB9" w:rsidRPr="00963AC3" w:rsidRDefault="008D2BB9" w:rsidP="00963AC3">
      <w:pPr>
        <w:spacing w:after="0" w:line="240" w:lineRule="auto"/>
        <w:jc w:val="both"/>
        <w:rPr>
          <w:rFonts w:ascii="Verdana" w:hAnsi="Verdana"/>
          <w:sz w:val="18"/>
          <w:szCs w:val="18"/>
        </w:rPr>
      </w:pPr>
      <w:r w:rsidRPr="00963AC3">
        <w:rPr>
          <w:rStyle w:val="Appelnotedebasdep"/>
          <w:rFonts w:ascii="Verdana" w:hAnsi="Verdana"/>
          <w:sz w:val="18"/>
          <w:szCs w:val="18"/>
        </w:rPr>
        <w:footnoteRef/>
      </w:r>
      <w:r w:rsidRPr="00963AC3">
        <w:rPr>
          <w:rFonts w:ascii="Verdana" w:hAnsi="Verdana"/>
          <w:sz w:val="18"/>
          <w:szCs w:val="18"/>
        </w:rPr>
        <w:t> On y trouve l’expression d’« acteur social » pp. 9, 14, 15, 17, 18, 41, 95, 105, 107, 128, 133 (édition Didier 2001) alors que l’expression « tâche sociale » n’y est jamais utilisée.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99B"/>
    <w:rsid w:val="000003BC"/>
    <w:rsid w:val="00017680"/>
    <w:rsid w:val="000236E7"/>
    <w:rsid w:val="000262EB"/>
    <w:rsid w:val="00056402"/>
    <w:rsid w:val="0007446A"/>
    <w:rsid w:val="0008738B"/>
    <w:rsid w:val="000D7774"/>
    <w:rsid w:val="000E1181"/>
    <w:rsid w:val="000F2EE0"/>
    <w:rsid w:val="000F3EA3"/>
    <w:rsid w:val="000F4AB9"/>
    <w:rsid w:val="00102E77"/>
    <w:rsid w:val="001105C4"/>
    <w:rsid w:val="00123B2B"/>
    <w:rsid w:val="001278F8"/>
    <w:rsid w:val="0016347D"/>
    <w:rsid w:val="001760E2"/>
    <w:rsid w:val="00180681"/>
    <w:rsid w:val="001857D3"/>
    <w:rsid w:val="00185CF7"/>
    <w:rsid w:val="0018612A"/>
    <w:rsid w:val="00190A4D"/>
    <w:rsid w:val="0019112E"/>
    <w:rsid w:val="001A5418"/>
    <w:rsid w:val="001A5474"/>
    <w:rsid w:val="001E209C"/>
    <w:rsid w:val="001E2764"/>
    <w:rsid w:val="001E38D9"/>
    <w:rsid w:val="001E3EBA"/>
    <w:rsid w:val="001E5D45"/>
    <w:rsid w:val="002013E6"/>
    <w:rsid w:val="00220542"/>
    <w:rsid w:val="00224482"/>
    <w:rsid w:val="0026454D"/>
    <w:rsid w:val="002973C2"/>
    <w:rsid w:val="0029793A"/>
    <w:rsid w:val="002A60BD"/>
    <w:rsid w:val="002B1410"/>
    <w:rsid w:val="002B3D45"/>
    <w:rsid w:val="002D20DD"/>
    <w:rsid w:val="002E0978"/>
    <w:rsid w:val="00311758"/>
    <w:rsid w:val="00332703"/>
    <w:rsid w:val="00341E79"/>
    <w:rsid w:val="003561DD"/>
    <w:rsid w:val="003730A5"/>
    <w:rsid w:val="0037509F"/>
    <w:rsid w:val="0037691E"/>
    <w:rsid w:val="003A347D"/>
    <w:rsid w:val="003A576B"/>
    <w:rsid w:val="003C3456"/>
    <w:rsid w:val="004030F2"/>
    <w:rsid w:val="00404B09"/>
    <w:rsid w:val="004152BD"/>
    <w:rsid w:val="00432687"/>
    <w:rsid w:val="004419A2"/>
    <w:rsid w:val="004875BA"/>
    <w:rsid w:val="004B24F7"/>
    <w:rsid w:val="004D2203"/>
    <w:rsid w:val="004D2521"/>
    <w:rsid w:val="004D7129"/>
    <w:rsid w:val="004F671A"/>
    <w:rsid w:val="0051026A"/>
    <w:rsid w:val="00547C5E"/>
    <w:rsid w:val="00561884"/>
    <w:rsid w:val="005918D2"/>
    <w:rsid w:val="005A1016"/>
    <w:rsid w:val="005A5AC0"/>
    <w:rsid w:val="005E61D5"/>
    <w:rsid w:val="005F2EC3"/>
    <w:rsid w:val="00654743"/>
    <w:rsid w:val="006830DD"/>
    <w:rsid w:val="006938A1"/>
    <w:rsid w:val="006B7F20"/>
    <w:rsid w:val="006E086E"/>
    <w:rsid w:val="00722D99"/>
    <w:rsid w:val="0076126B"/>
    <w:rsid w:val="00763FE1"/>
    <w:rsid w:val="007775FC"/>
    <w:rsid w:val="00780252"/>
    <w:rsid w:val="007931F9"/>
    <w:rsid w:val="00793947"/>
    <w:rsid w:val="007A1CA4"/>
    <w:rsid w:val="007A59C5"/>
    <w:rsid w:val="007A64B1"/>
    <w:rsid w:val="007E2831"/>
    <w:rsid w:val="00806E08"/>
    <w:rsid w:val="00820333"/>
    <w:rsid w:val="00872132"/>
    <w:rsid w:val="00881848"/>
    <w:rsid w:val="00891A1B"/>
    <w:rsid w:val="008A44DF"/>
    <w:rsid w:val="008B4ACA"/>
    <w:rsid w:val="008D0801"/>
    <w:rsid w:val="008D2BB9"/>
    <w:rsid w:val="008E65B0"/>
    <w:rsid w:val="00935FA6"/>
    <w:rsid w:val="00940808"/>
    <w:rsid w:val="00953EC2"/>
    <w:rsid w:val="00954094"/>
    <w:rsid w:val="00963AC3"/>
    <w:rsid w:val="0097137F"/>
    <w:rsid w:val="00973DC3"/>
    <w:rsid w:val="009B2DD1"/>
    <w:rsid w:val="009E3125"/>
    <w:rsid w:val="009F1941"/>
    <w:rsid w:val="009F4423"/>
    <w:rsid w:val="00A056F9"/>
    <w:rsid w:val="00A7280F"/>
    <w:rsid w:val="00A8204E"/>
    <w:rsid w:val="00AA37C8"/>
    <w:rsid w:val="00AD38EC"/>
    <w:rsid w:val="00B0141E"/>
    <w:rsid w:val="00B20389"/>
    <w:rsid w:val="00B331AB"/>
    <w:rsid w:val="00B407DE"/>
    <w:rsid w:val="00B42199"/>
    <w:rsid w:val="00B513CC"/>
    <w:rsid w:val="00B83753"/>
    <w:rsid w:val="00BA725C"/>
    <w:rsid w:val="00BC1A54"/>
    <w:rsid w:val="00BC22FF"/>
    <w:rsid w:val="00BC6586"/>
    <w:rsid w:val="00BD6FA6"/>
    <w:rsid w:val="00BF0DCA"/>
    <w:rsid w:val="00C02D7E"/>
    <w:rsid w:val="00C56F55"/>
    <w:rsid w:val="00C641B2"/>
    <w:rsid w:val="00C82C93"/>
    <w:rsid w:val="00C8772A"/>
    <w:rsid w:val="00C917EC"/>
    <w:rsid w:val="00C927E7"/>
    <w:rsid w:val="00CA5C88"/>
    <w:rsid w:val="00CD0055"/>
    <w:rsid w:val="00CF0EBC"/>
    <w:rsid w:val="00CF4FE9"/>
    <w:rsid w:val="00D059C3"/>
    <w:rsid w:val="00D10DC9"/>
    <w:rsid w:val="00D674D4"/>
    <w:rsid w:val="00D77380"/>
    <w:rsid w:val="00D8428C"/>
    <w:rsid w:val="00DC1648"/>
    <w:rsid w:val="00DD38E8"/>
    <w:rsid w:val="00DE422A"/>
    <w:rsid w:val="00DE4ACA"/>
    <w:rsid w:val="00DF4CBB"/>
    <w:rsid w:val="00DF6447"/>
    <w:rsid w:val="00E21200"/>
    <w:rsid w:val="00E3392B"/>
    <w:rsid w:val="00E475F8"/>
    <w:rsid w:val="00E60F24"/>
    <w:rsid w:val="00E61D80"/>
    <w:rsid w:val="00E744EB"/>
    <w:rsid w:val="00E84447"/>
    <w:rsid w:val="00EA183E"/>
    <w:rsid w:val="00EB24DC"/>
    <w:rsid w:val="00EF0DA6"/>
    <w:rsid w:val="00F21691"/>
    <w:rsid w:val="00F51D01"/>
    <w:rsid w:val="00F608A4"/>
    <w:rsid w:val="00F706D2"/>
    <w:rsid w:val="00F77391"/>
    <w:rsid w:val="00F83505"/>
    <w:rsid w:val="00F87EDD"/>
    <w:rsid w:val="00FD6040"/>
    <w:rsid w:val="00FD72BE"/>
    <w:rsid w:val="00FE1048"/>
    <w:rsid w:val="00FE39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CECAE"/>
  <w15:docId w15:val="{D9700318-1472-4E0F-8B52-5171A164B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99B"/>
  </w:style>
  <w:style w:type="paragraph" w:styleId="Titre1">
    <w:name w:val="heading 1"/>
    <w:basedOn w:val="Normal"/>
    <w:next w:val="Normal"/>
    <w:link w:val="Titre1Car"/>
    <w:uiPriority w:val="9"/>
    <w:qFormat/>
    <w:rsid w:val="00D674D4"/>
    <w:pPr>
      <w:keepNext/>
      <w:keepLines/>
      <w:spacing w:before="180" w:after="120" w:line="240" w:lineRule="auto"/>
      <w:outlineLvl w:val="0"/>
    </w:pPr>
    <w:rPr>
      <w:rFonts w:ascii="Verdana" w:eastAsiaTheme="majorEastAsia" w:hAnsi="Verdana" w:cstheme="majorBidi"/>
      <w:b/>
      <w:bCs/>
      <w:caps/>
      <w:szCs w:val="28"/>
    </w:rPr>
  </w:style>
  <w:style w:type="paragraph" w:styleId="Titre2">
    <w:name w:val="heading 2"/>
    <w:basedOn w:val="Normal"/>
    <w:next w:val="Normal"/>
    <w:link w:val="Titre2Car"/>
    <w:autoRedefine/>
    <w:qFormat/>
    <w:rsid w:val="00D674D4"/>
    <w:pPr>
      <w:keepNext/>
      <w:spacing w:before="120" w:after="120" w:line="240" w:lineRule="auto"/>
      <w:ind w:left="709"/>
      <w:outlineLvl w:val="1"/>
    </w:pPr>
    <w:rPr>
      <w:rFonts w:ascii="Verdana" w:eastAsia="Times New Roman" w:hAnsi="Verdana" w:cs="Arial"/>
      <w:b/>
      <w:bCs/>
      <w:iCs/>
      <w:sz w:val="24"/>
      <w:szCs w:val="28"/>
      <w:lang w:eastAsia="fr-FR"/>
    </w:rPr>
  </w:style>
  <w:style w:type="paragraph" w:styleId="Titre3">
    <w:name w:val="heading 3"/>
    <w:basedOn w:val="Normal"/>
    <w:next w:val="Normal"/>
    <w:link w:val="Titre3Car"/>
    <w:uiPriority w:val="9"/>
    <w:unhideWhenUsed/>
    <w:qFormat/>
    <w:rsid w:val="00D674D4"/>
    <w:pPr>
      <w:keepNext/>
      <w:keepLines/>
      <w:spacing w:before="120" w:after="120"/>
      <w:ind w:left="1418"/>
      <w:outlineLvl w:val="2"/>
    </w:pPr>
    <w:rPr>
      <w:rFonts w:ascii="Verdana" w:eastAsiaTheme="majorEastAsia" w:hAnsi="Verdana" w:cstheme="majorBidi"/>
      <w:b/>
      <w:bCs/>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674D4"/>
    <w:rPr>
      <w:rFonts w:ascii="Verdana" w:eastAsiaTheme="majorEastAsia" w:hAnsi="Verdana" w:cstheme="majorBidi"/>
      <w:b/>
      <w:bCs/>
      <w:caps/>
      <w:szCs w:val="28"/>
    </w:rPr>
  </w:style>
  <w:style w:type="character" w:customStyle="1" w:styleId="Titre2Car">
    <w:name w:val="Titre 2 Car"/>
    <w:basedOn w:val="Policepardfaut"/>
    <w:link w:val="Titre2"/>
    <w:rsid w:val="00D674D4"/>
    <w:rPr>
      <w:rFonts w:ascii="Verdana" w:eastAsia="Times New Roman" w:hAnsi="Verdana" w:cs="Arial"/>
      <w:b/>
      <w:bCs/>
      <w:iCs/>
      <w:sz w:val="24"/>
      <w:szCs w:val="28"/>
      <w:lang w:eastAsia="fr-FR"/>
    </w:rPr>
  </w:style>
  <w:style w:type="paragraph" w:styleId="En-tte">
    <w:name w:val="header"/>
    <w:basedOn w:val="Normal"/>
    <w:link w:val="En-tteCar"/>
    <w:uiPriority w:val="99"/>
    <w:unhideWhenUsed/>
    <w:rsid w:val="00341E79"/>
    <w:pPr>
      <w:tabs>
        <w:tab w:val="center" w:pos="4536"/>
        <w:tab w:val="right" w:pos="9072"/>
      </w:tabs>
      <w:spacing w:after="0" w:line="240" w:lineRule="auto"/>
    </w:pPr>
  </w:style>
  <w:style w:type="character" w:customStyle="1" w:styleId="En-tteCar">
    <w:name w:val="En-tête Car"/>
    <w:basedOn w:val="Policepardfaut"/>
    <w:link w:val="En-tte"/>
    <w:uiPriority w:val="99"/>
    <w:rsid w:val="00341E79"/>
  </w:style>
  <w:style w:type="paragraph" w:styleId="Pieddepage">
    <w:name w:val="footer"/>
    <w:basedOn w:val="Normal"/>
    <w:link w:val="PieddepageCar"/>
    <w:uiPriority w:val="99"/>
    <w:unhideWhenUsed/>
    <w:rsid w:val="00341E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1E79"/>
  </w:style>
  <w:style w:type="character" w:customStyle="1" w:styleId="Titre3Car">
    <w:name w:val="Titre 3 Car"/>
    <w:basedOn w:val="Policepardfaut"/>
    <w:link w:val="Titre3"/>
    <w:uiPriority w:val="9"/>
    <w:rsid w:val="00D674D4"/>
    <w:rPr>
      <w:rFonts w:ascii="Verdana" w:eastAsiaTheme="majorEastAsia" w:hAnsi="Verdana" w:cstheme="majorBidi"/>
      <w:b/>
      <w:bCs/>
      <w:i/>
    </w:rPr>
  </w:style>
  <w:style w:type="table" w:styleId="Grilledutableau">
    <w:name w:val="Table Grid"/>
    <w:basedOn w:val="TableauNormal"/>
    <w:uiPriority w:val="59"/>
    <w:rsid w:val="00FE3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9112E"/>
    <w:rPr>
      <w:color w:val="0000FF" w:themeColor="hyperlink"/>
      <w:u w:val="single"/>
    </w:rPr>
  </w:style>
  <w:style w:type="paragraph" w:styleId="Notedebasdepage">
    <w:name w:val="footnote text"/>
    <w:basedOn w:val="Normal"/>
    <w:link w:val="NotedebasdepageCar"/>
    <w:uiPriority w:val="99"/>
    <w:unhideWhenUsed/>
    <w:rsid w:val="001760E2"/>
    <w:pPr>
      <w:spacing w:after="0" w:line="240" w:lineRule="auto"/>
    </w:pPr>
    <w:rPr>
      <w:sz w:val="20"/>
      <w:szCs w:val="20"/>
    </w:rPr>
  </w:style>
  <w:style w:type="character" w:customStyle="1" w:styleId="NotedebasdepageCar">
    <w:name w:val="Note de bas de page Car"/>
    <w:basedOn w:val="Policepardfaut"/>
    <w:link w:val="Notedebasdepage"/>
    <w:uiPriority w:val="99"/>
    <w:rsid w:val="001760E2"/>
    <w:rPr>
      <w:sz w:val="20"/>
      <w:szCs w:val="20"/>
    </w:rPr>
  </w:style>
  <w:style w:type="character" w:styleId="Appelnotedebasdep">
    <w:name w:val="footnote reference"/>
    <w:basedOn w:val="Policepardfaut"/>
    <w:uiPriority w:val="99"/>
    <w:semiHidden/>
    <w:unhideWhenUsed/>
    <w:rsid w:val="001760E2"/>
    <w:rPr>
      <w:vertAlign w:val="superscript"/>
    </w:rPr>
  </w:style>
  <w:style w:type="paragraph" w:styleId="Textedebulles">
    <w:name w:val="Balloon Text"/>
    <w:basedOn w:val="Normal"/>
    <w:link w:val="TextedebullesCar"/>
    <w:uiPriority w:val="99"/>
    <w:semiHidden/>
    <w:unhideWhenUsed/>
    <w:rsid w:val="001760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60E2"/>
    <w:rPr>
      <w:rFonts w:ascii="Tahoma" w:hAnsi="Tahoma" w:cs="Tahoma"/>
      <w:sz w:val="16"/>
      <w:szCs w:val="16"/>
    </w:rPr>
  </w:style>
  <w:style w:type="paragraph" w:styleId="Paragraphedeliste">
    <w:name w:val="List Paragraph"/>
    <w:basedOn w:val="Normal"/>
    <w:uiPriority w:val="34"/>
    <w:qFormat/>
    <w:rsid w:val="00C917EC"/>
    <w:pPr>
      <w:ind w:left="720"/>
      <w:contextualSpacing/>
    </w:pPr>
  </w:style>
  <w:style w:type="paragraph" w:styleId="Corpsdetexte2">
    <w:name w:val="Body Text 2"/>
    <w:basedOn w:val="Normal"/>
    <w:link w:val="Corpsdetexte2Car"/>
    <w:rsid w:val="00102E77"/>
    <w:pPr>
      <w:widowControl w:val="0"/>
      <w:spacing w:after="0" w:line="360" w:lineRule="auto"/>
      <w:jc w:val="center"/>
    </w:pPr>
    <w:rPr>
      <w:rFonts w:ascii="Arial" w:eastAsia="Times New Roman" w:hAnsi="Arial" w:cs="Tahoma"/>
      <w:sz w:val="20"/>
      <w:szCs w:val="24"/>
      <w:lang w:eastAsia="fr-FR"/>
    </w:rPr>
  </w:style>
  <w:style w:type="character" w:customStyle="1" w:styleId="Corpsdetexte2Car">
    <w:name w:val="Corps de texte 2 Car"/>
    <w:basedOn w:val="Policepardfaut"/>
    <w:link w:val="Corpsdetexte2"/>
    <w:rsid w:val="00102E77"/>
    <w:rPr>
      <w:rFonts w:ascii="Arial" w:eastAsia="Times New Roman" w:hAnsi="Arial" w:cs="Tahoma"/>
      <w:sz w:val="20"/>
      <w:szCs w:val="24"/>
      <w:lang w:eastAsia="fr-FR"/>
    </w:rPr>
  </w:style>
  <w:style w:type="character" w:styleId="Mentionnonrsolue">
    <w:name w:val="Unresolved Mention"/>
    <w:basedOn w:val="Policepardfaut"/>
    <w:uiPriority w:val="99"/>
    <w:semiHidden/>
    <w:unhideWhenUsed/>
    <w:rsid w:val="00DF4C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istianpuren.com/biblioth&#232;que-de-travail/013/" TargetMode="External"/><Relationship Id="rId13" Type="http://schemas.openxmlformats.org/officeDocument/2006/relationships/hyperlink" Target="http://www.christianpuren.com/mes-travaux/2016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ristianpuren.com" TargetMode="External"/><Relationship Id="rId12" Type="http://schemas.openxmlformats.org/officeDocument/2006/relationships/hyperlink" Target="http://www.christianpuren.com/mes-travaux/2016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hristianpuren.com/biblioth&#232;que-de-travail/05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hristianpuren.com/mes-travaux/2016g/" TargetMode="External"/><Relationship Id="rId5" Type="http://schemas.openxmlformats.org/officeDocument/2006/relationships/footnotes" Target="footnotes.xml"/><Relationship Id="rId15" Type="http://schemas.openxmlformats.org/officeDocument/2006/relationships/hyperlink" Target="http://www.christianpuren.com/biblioth&#232;que-de-travail/025/" TargetMode="External"/><Relationship Id="rId10" Type="http://schemas.openxmlformats.org/officeDocument/2006/relationships/hyperlink" Target="http://www.christianpuren.com/mes-travaux/2016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hristianpuren.com/biblioth&#232;que-de-travail/013/" TargetMode="External"/><Relationship Id="rId14" Type="http://schemas.openxmlformats.org/officeDocument/2006/relationships/hyperlink" Target="http://www.christianpuren.com/biblioth%C3%A8que-de-travail/02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hristianpuren.com/biblioth&#232;que-de-travail/05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hristianpuren.com/mes-travaux/2016g/" TargetMode="External"/><Relationship Id="rId1" Type="http://schemas.openxmlformats.org/officeDocument/2006/relationships/hyperlink" Target="http://www.christianpuren.com/mes-travaux/2016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Mes%20textes\Mod&#232;les\Mod&#232;le%20artic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63181-2382-4E80-A660-39F666CA9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article.dotx</Template>
  <TotalTime>71</TotalTime>
  <Pages>1</Pages>
  <Words>2080</Words>
  <Characters>11440</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dc:creator>
  <cp:lastModifiedBy>Christian Puren</cp:lastModifiedBy>
  <cp:revision>15</cp:revision>
  <cp:lastPrinted>2021-03-08T20:08:00Z</cp:lastPrinted>
  <dcterms:created xsi:type="dcterms:W3CDTF">2018-01-27T17:50:00Z</dcterms:created>
  <dcterms:modified xsi:type="dcterms:W3CDTF">2021-03-08T20:08:00Z</dcterms:modified>
</cp:coreProperties>
</file>